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A600" w14:textId="77777777" w:rsidR="00DB308D" w:rsidRPr="0032246D" w:rsidRDefault="0023695D" w:rsidP="004C2111">
      <w:pPr>
        <w:pStyle w:val="Reference"/>
        <w:rPr>
          <w:sz w:val="19"/>
          <w:szCs w:val="19"/>
        </w:rPr>
      </w:pPr>
      <w:r w:rsidRPr="0032246D">
        <w:rPr>
          <w:sz w:val="19"/>
          <w:szCs w:val="19"/>
        </w:rPr>
        <w:tab/>
      </w:r>
    </w:p>
    <w:p w14:paraId="7859F928" w14:textId="77777777" w:rsidR="00DD1E47" w:rsidRPr="0032246D" w:rsidRDefault="00DD1E47" w:rsidP="006771E8">
      <w:pPr>
        <w:pStyle w:val="BodyText"/>
        <w:rPr>
          <w:sz w:val="19"/>
          <w:szCs w:val="19"/>
        </w:rPr>
      </w:pPr>
    </w:p>
    <w:p w14:paraId="2EB86559" w14:textId="77777777" w:rsidR="00D15EA5" w:rsidRPr="0032246D" w:rsidRDefault="006F1B19" w:rsidP="00D15EA5">
      <w:pPr>
        <w:pStyle w:val="BodyText"/>
        <w:rPr>
          <w:sz w:val="19"/>
          <w:szCs w:val="19"/>
        </w:rPr>
      </w:pPr>
      <w:r w:rsidRPr="0032246D">
        <w:rPr>
          <w:sz w:val="19"/>
          <w:szCs w:val="19"/>
        </w:rPr>
        <w:br w:type="textWrapping" w:clear="all"/>
      </w:r>
    </w:p>
    <w:p w14:paraId="7314DDDF" w14:textId="77777777" w:rsidR="00D15EA5" w:rsidRPr="0032246D" w:rsidRDefault="00D15EA5" w:rsidP="00D15EA5">
      <w:pPr>
        <w:pStyle w:val="BodyText"/>
        <w:rPr>
          <w:sz w:val="19"/>
          <w:szCs w:val="19"/>
        </w:rPr>
      </w:pPr>
    </w:p>
    <w:p w14:paraId="0290AC5A" w14:textId="77777777" w:rsidR="00D15EA5" w:rsidRPr="0032246D" w:rsidRDefault="00D15EA5" w:rsidP="00D15EA5">
      <w:pPr>
        <w:pStyle w:val="BodyText"/>
        <w:rPr>
          <w:rFonts w:cstheme="minorBidi"/>
          <w:sz w:val="19"/>
          <w:szCs w:val="19"/>
          <w:lang w:bidi="th-TH"/>
        </w:rPr>
      </w:pPr>
    </w:p>
    <w:p w14:paraId="0330A163" w14:textId="77777777" w:rsidR="00F51277" w:rsidRPr="0032246D" w:rsidRDefault="00F51277" w:rsidP="00734D83">
      <w:pPr>
        <w:spacing w:after="0" w:line="240" w:lineRule="auto"/>
        <w:jc w:val="thaiDistribute"/>
        <w:rPr>
          <w:rFonts w:ascii="Browallia New" w:hAnsi="Browallia New" w:cs="Browallia New"/>
          <w:sz w:val="19"/>
          <w:szCs w:val="19"/>
          <w:lang w:bidi="th-TH"/>
        </w:rPr>
      </w:pPr>
    </w:p>
    <w:p w14:paraId="391001E8" w14:textId="77777777" w:rsidR="001F7F05" w:rsidRDefault="001F7F05" w:rsidP="001F7F05">
      <w:pPr>
        <w:pStyle w:val="BodyText"/>
        <w:spacing w:after="0" w:line="360" w:lineRule="auto"/>
        <w:jc w:val="thaiDistribute"/>
        <w:rPr>
          <w:rFonts w:ascii="Arial" w:hAnsi="Arial"/>
          <w:b/>
          <w:bCs/>
          <w:sz w:val="19"/>
          <w:szCs w:val="19"/>
        </w:rPr>
      </w:pPr>
    </w:p>
    <w:p w14:paraId="7BABF847" w14:textId="4E449B8B" w:rsidR="00EF1EAF" w:rsidRPr="001F7F05" w:rsidRDefault="00EF1EAF" w:rsidP="001F7F05">
      <w:pPr>
        <w:pStyle w:val="BodyText"/>
        <w:spacing w:after="0" w:line="360" w:lineRule="auto"/>
        <w:jc w:val="thaiDistribute"/>
        <w:rPr>
          <w:rFonts w:ascii="Arial" w:hAnsi="Arial"/>
          <w:b/>
          <w:bCs/>
          <w:sz w:val="19"/>
          <w:szCs w:val="19"/>
        </w:rPr>
      </w:pPr>
      <w:r w:rsidRPr="001F7F05">
        <w:rPr>
          <w:rFonts w:ascii="Arial" w:hAnsi="Arial"/>
          <w:b/>
          <w:bCs/>
          <w:sz w:val="19"/>
          <w:szCs w:val="19"/>
        </w:rPr>
        <w:t>To the Shareholders of Italian – Thai Development Public Company Limited</w:t>
      </w:r>
    </w:p>
    <w:p w14:paraId="0F60BE2B" w14:textId="77777777" w:rsidR="00EF1EAF" w:rsidRPr="001F7F05" w:rsidRDefault="00EF1EAF" w:rsidP="001F7F05">
      <w:pPr>
        <w:pStyle w:val="BodyText"/>
        <w:spacing w:after="0" w:line="360" w:lineRule="auto"/>
        <w:jc w:val="thaiDistribute"/>
        <w:rPr>
          <w:rFonts w:ascii="Arial" w:hAnsi="Arial"/>
          <w:i/>
          <w:iCs/>
          <w:sz w:val="19"/>
          <w:szCs w:val="19"/>
        </w:rPr>
      </w:pPr>
    </w:p>
    <w:p w14:paraId="0D6C25B5" w14:textId="77777777" w:rsidR="00EF1EAF" w:rsidRPr="0032246D" w:rsidRDefault="00EF1EAF" w:rsidP="00EF1EAF">
      <w:pPr>
        <w:pStyle w:val="NormalWeb"/>
        <w:spacing w:after="0" w:line="360" w:lineRule="auto"/>
        <w:rPr>
          <w:rFonts w:asciiTheme="majorHAnsi" w:hAnsiTheme="majorHAnsi" w:cstheme="majorHAnsi"/>
          <w:i/>
          <w:iCs/>
          <w:sz w:val="19"/>
          <w:szCs w:val="19"/>
        </w:rPr>
      </w:pPr>
      <w:r w:rsidRPr="0032246D">
        <w:rPr>
          <w:rFonts w:asciiTheme="majorHAnsi" w:hAnsiTheme="majorHAnsi" w:cstheme="majorHAnsi"/>
          <w:i/>
          <w:iCs/>
          <w:sz w:val="19"/>
          <w:szCs w:val="19"/>
        </w:rPr>
        <w:t xml:space="preserve">Qualified Opinion </w:t>
      </w:r>
    </w:p>
    <w:p w14:paraId="08EF3912" w14:textId="77777777" w:rsidR="00EF1EAF" w:rsidRPr="001F7F05" w:rsidRDefault="00EF1EAF" w:rsidP="001F7F05">
      <w:pPr>
        <w:pStyle w:val="BodyText"/>
        <w:spacing w:after="0" w:line="360" w:lineRule="auto"/>
        <w:jc w:val="thaiDistribute"/>
        <w:rPr>
          <w:rFonts w:ascii="Arial" w:hAnsi="Arial"/>
          <w:i/>
          <w:iCs/>
          <w:sz w:val="19"/>
          <w:szCs w:val="19"/>
        </w:rPr>
      </w:pPr>
    </w:p>
    <w:p w14:paraId="5C6D1060" w14:textId="7BDE5AAB" w:rsidR="00EF1EAF" w:rsidRPr="0032246D" w:rsidRDefault="00EF1EAF" w:rsidP="00EF1EAF">
      <w:pPr>
        <w:spacing w:line="360" w:lineRule="auto"/>
        <w:jc w:val="both"/>
        <w:rPr>
          <w:rFonts w:asciiTheme="majorHAnsi" w:hAnsiTheme="majorHAnsi" w:cstheme="majorHAnsi"/>
          <w:i/>
          <w:iCs/>
          <w:sz w:val="19"/>
          <w:szCs w:val="19"/>
          <w:lang w:val="en-US"/>
        </w:rPr>
      </w:pPr>
      <w:r w:rsidRPr="0032246D">
        <w:rPr>
          <w:rFonts w:asciiTheme="majorHAnsi" w:hAnsiTheme="majorHAnsi" w:cstheme="majorHAnsi"/>
          <w:sz w:val="19"/>
          <w:szCs w:val="19"/>
          <w:lang w:val="en-US"/>
        </w:rPr>
        <w:t>I have audited the consolidated financial statements of Italian – Thai Development Public Company Limited and its subsidiaries</w:t>
      </w:r>
      <w:r w:rsidRPr="0032246D">
        <w:rPr>
          <w:rFonts w:asciiTheme="majorHAnsi" w:hAnsiTheme="majorHAnsi" w:cstheme="majorHAnsi"/>
          <w:sz w:val="19"/>
          <w:szCs w:val="19"/>
          <w:rtl/>
          <w:cs/>
        </w:rPr>
        <w:t xml:space="preserve"> </w:t>
      </w:r>
      <w:r w:rsidRPr="0032246D">
        <w:rPr>
          <w:rFonts w:asciiTheme="majorHAnsi" w:hAnsiTheme="majorHAnsi" w:cstheme="majorHAnsi"/>
          <w:sz w:val="19"/>
          <w:szCs w:val="19"/>
          <w:lang w:val="en-US"/>
        </w:rPr>
        <w:t>(the “Group”), which comprise the consolidated statement of financial position as at 31 December 201</w:t>
      </w:r>
      <w:r w:rsidR="008212DB">
        <w:rPr>
          <w:rFonts w:asciiTheme="majorHAnsi" w:hAnsiTheme="majorHAnsi" w:cstheme="majorHAnsi"/>
          <w:sz w:val="19"/>
          <w:szCs w:val="19"/>
          <w:lang w:val="en-US"/>
        </w:rPr>
        <w:t>8</w:t>
      </w:r>
      <w:r w:rsidRPr="0032246D">
        <w:rPr>
          <w:rFonts w:asciiTheme="majorHAnsi" w:hAnsiTheme="majorHAnsi" w:cstheme="majorHAnsi"/>
          <w:sz w:val="19"/>
          <w:szCs w:val="19"/>
          <w:lang w:val="en-US"/>
        </w:rPr>
        <w:t xml:space="preserve">, </w:t>
      </w:r>
      <w:r w:rsidR="00B627D4">
        <w:rPr>
          <w:rFonts w:asciiTheme="majorHAnsi" w:hAnsiTheme="majorHAnsi" w:cstheme="majorHAnsi"/>
          <w:sz w:val="19"/>
          <w:szCs w:val="19"/>
          <w:lang w:val="en-US"/>
        </w:rPr>
        <w:t xml:space="preserve">the </w:t>
      </w:r>
      <w:r w:rsidRPr="0032246D">
        <w:rPr>
          <w:rFonts w:asciiTheme="majorHAnsi" w:hAnsiTheme="majorHAnsi" w:cstheme="majorHAnsi"/>
          <w:sz w:val="19"/>
          <w:szCs w:val="19"/>
          <w:lang w:val="en-US"/>
        </w:rPr>
        <w:t>consolidated statement</w:t>
      </w:r>
      <w:r w:rsidR="00B627D4">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of profit and loss and other comprehensive income, changes in shareholders’ equity and cash flows for the year then ended, and notes to the financial statements, including a summary of significant accounting policies.  I have also audited the separate financial statements of Italian – Thai Development Public Company Limited (the “Company”), which comprise the separate statement of financial position as at 31 December 201</w:t>
      </w:r>
      <w:r w:rsidR="008212DB">
        <w:rPr>
          <w:rFonts w:asciiTheme="majorHAnsi" w:hAnsiTheme="majorHAnsi" w:cstheme="majorHAnsi"/>
          <w:sz w:val="19"/>
          <w:szCs w:val="19"/>
          <w:lang w:val="en-US"/>
        </w:rPr>
        <w:t>8</w:t>
      </w:r>
      <w:r w:rsidRPr="0032246D">
        <w:rPr>
          <w:rFonts w:asciiTheme="majorHAnsi" w:hAnsiTheme="majorHAnsi" w:cstheme="majorHAnsi"/>
          <w:sz w:val="19"/>
          <w:szCs w:val="19"/>
          <w:lang w:val="en-US"/>
        </w:rPr>
        <w:t>,</w:t>
      </w:r>
      <w:r w:rsidR="00B627D4">
        <w:rPr>
          <w:rFonts w:asciiTheme="majorHAnsi" w:hAnsiTheme="majorHAnsi" w:cstheme="majorHAnsi"/>
          <w:sz w:val="19"/>
          <w:szCs w:val="19"/>
          <w:lang w:val="en-US"/>
        </w:rPr>
        <w:t xml:space="preserve"> the</w:t>
      </w:r>
      <w:r w:rsidRPr="0032246D">
        <w:rPr>
          <w:rFonts w:asciiTheme="majorHAnsi" w:hAnsiTheme="majorHAnsi" w:cstheme="majorHAnsi"/>
          <w:sz w:val="19"/>
          <w:szCs w:val="19"/>
          <w:lang w:val="en-US"/>
        </w:rPr>
        <w:t xml:space="preserve"> statement</w:t>
      </w:r>
      <w:r w:rsidR="00B627D4">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of profit and loss and other comprehensive income, changes in shareholders’ equity and cash flows for the year then ended, and notes to the separate financial statements, including a summary of significant accounting policies. </w:t>
      </w:r>
    </w:p>
    <w:p w14:paraId="5F1A0C7D" w14:textId="77777777" w:rsidR="00EF1EAF" w:rsidRPr="001F7F05" w:rsidRDefault="00EF1EAF" w:rsidP="001F7F05">
      <w:pPr>
        <w:pStyle w:val="BodyText"/>
        <w:spacing w:after="0" w:line="360" w:lineRule="auto"/>
        <w:jc w:val="thaiDistribute"/>
        <w:rPr>
          <w:rFonts w:ascii="Arial" w:hAnsi="Arial"/>
          <w:i/>
          <w:iCs/>
          <w:sz w:val="19"/>
          <w:szCs w:val="19"/>
        </w:rPr>
      </w:pPr>
    </w:p>
    <w:p w14:paraId="055DFA8B" w14:textId="334113D6" w:rsidR="00CD4D4E" w:rsidRPr="0032246D" w:rsidRDefault="00EF1EAF" w:rsidP="00EF1EAF">
      <w:pPr>
        <w:spacing w:line="360" w:lineRule="auto"/>
        <w:jc w:val="thaiDistribute"/>
        <w:rPr>
          <w:rFonts w:asciiTheme="majorHAnsi" w:hAnsiTheme="majorHAnsi" w:cstheme="majorHAnsi"/>
          <w:sz w:val="19"/>
          <w:szCs w:val="19"/>
        </w:rPr>
      </w:pPr>
      <w:r w:rsidRPr="0032246D">
        <w:rPr>
          <w:rFonts w:asciiTheme="majorHAnsi" w:hAnsiTheme="majorHAnsi" w:cstheme="majorHAnsi"/>
          <w:sz w:val="19"/>
          <w:szCs w:val="19"/>
          <w:lang w:val="en-US"/>
        </w:rPr>
        <w:t>In my opinion, except for the possible effects of the matters described in the Basis for Qualified Opinion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paragraph, the accompanying consolidated and separate financial statements present fairly, in all material respects, the consolidated financial position of the Group as at 31 December 201</w:t>
      </w:r>
      <w:r w:rsidR="008212DB">
        <w:rPr>
          <w:rFonts w:asciiTheme="majorHAnsi" w:hAnsiTheme="majorHAnsi" w:cstheme="majorHAnsi"/>
          <w:sz w:val="19"/>
          <w:szCs w:val="19"/>
          <w:lang w:val="en-US"/>
        </w:rPr>
        <w:t>8</w:t>
      </w:r>
      <w:r w:rsidRPr="0032246D">
        <w:rPr>
          <w:rFonts w:asciiTheme="majorHAnsi" w:hAnsiTheme="majorHAnsi" w:cstheme="majorHAnsi"/>
          <w:sz w:val="19"/>
          <w:szCs w:val="19"/>
          <w:lang w:val="en-US"/>
        </w:rPr>
        <w:t>, and its consolidated financial performance and cash flows for the year then ended and the separate financial position as at 31 December 201</w:t>
      </w:r>
      <w:r w:rsidR="008212DB">
        <w:rPr>
          <w:rFonts w:asciiTheme="majorHAnsi" w:hAnsiTheme="majorHAnsi" w:cstheme="majorHAnsi"/>
          <w:sz w:val="19"/>
          <w:szCs w:val="19"/>
          <w:lang w:val="en-US"/>
        </w:rPr>
        <w:t>8</w:t>
      </w:r>
      <w:r w:rsidRPr="0032246D">
        <w:rPr>
          <w:rFonts w:asciiTheme="majorHAnsi" w:hAnsiTheme="majorHAnsi" w:cstheme="majorHAnsi"/>
          <w:sz w:val="19"/>
          <w:szCs w:val="19"/>
          <w:lang w:val="en-US"/>
        </w:rPr>
        <w:t>, and its separate financial performance and cash flows for the year then ended in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accordance with Thai Financial Reporting Standards.</w:t>
      </w:r>
      <w:r w:rsidR="00734D83" w:rsidRPr="0032246D">
        <w:rPr>
          <w:rFonts w:asciiTheme="majorHAnsi" w:hAnsiTheme="majorHAnsi" w:cstheme="majorHAnsi"/>
          <w:sz w:val="19"/>
          <w:szCs w:val="19"/>
          <w:cs/>
          <w:lang w:val="en-US" w:bidi="th-TH"/>
        </w:rPr>
        <w:t xml:space="preserve"> </w:t>
      </w:r>
    </w:p>
    <w:p w14:paraId="1F40F1D7" w14:textId="0C60AA18" w:rsidR="0051206C" w:rsidRDefault="0051206C" w:rsidP="001F7F05">
      <w:pPr>
        <w:pStyle w:val="BodyText"/>
        <w:spacing w:after="0" w:line="360" w:lineRule="auto"/>
        <w:jc w:val="thaiDistribute"/>
        <w:rPr>
          <w:rFonts w:ascii="Arial" w:hAnsi="Arial"/>
          <w:i/>
          <w:iCs/>
          <w:sz w:val="19"/>
          <w:szCs w:val="19"/>
        </w:rPr>
      </w:pPr>
    </w:p>
    <w:p w14:paraId="736A2259" w14:textId="49B4A30C" w:rsidR="001F7F05" w:rsidRDefault="001F7F05" w:rsidP="001F7F05">
      <w:pPr>
        <w:pStyle w:val="BodyText"/>
        <w:spacing w:after="0" w:line="360" w:lineRule="auto"/>
        <w:jc w:val="thaiDistribute"/>
        <w:rPr>
          <w:rFonts w:ascii="Arial" w:hAnsi="Arial"/>
          <w:i/>
          <w:iCs/>
          <w:sz w:val="19"/>
          <w:szCs w:val="19"/>
        </w:rPr>
      </w:pPr>
    </w:p>
    <w:p w14:paraId="31DFE0CC" w14:textId="74BFB8FD" w:rsidR="001F7F05" w:rsidRDefault="001F7F05" w:rsidP="001F7F05">
      <w:pPr>
        <w:pStyle w:val="BodyText"/>
        <w:spacing w:after="0" w:line="360" w:lineRule="auto"/>
        <w:jc w:val="thaiDistribute"/>
        <w:rPr>
          <w:rFonts w:ascii="Arial" w:hAnsi="Arial"/>
          <w:i/>
          <w:iCs/>
          <w:sz w:val="19"/>
          <w:szCs w:val="19"/>
        </w:rPr>
      </w:pPr>
    </w:p>
    <w:p w14:paraId="7A28BBAA" w14:textId="07B46F68" w:rsidR="001F7F05" w:rsidRDefault="001F7F05" w:rsidP="001F7F05">
      <w:pPr>
        <w:pStyle w:val="BodyText"/>
        <w:spacing w:after="0" w:line="360" w:lineRule="auto"/>
        <w:jc w:val="thaiDistribute"/>
        <w:rPr>
          <w:rFonts w:ascii="Arial" w:hAnsi="Arial"/>
          <w:i/>
          <w:iCs/>
          <w:sz w:val="19"/>
          <w:szCs w:val="19"/>
        </w:rPr>
      </w:pPr>
    </w:p>
    <w:p w14:paraId="3022ABFE" w14:textId="3D2D067E" w:rsidR="001F7F05" w:rsidRDefault="001F7F05" w:rsidP="001F7F05">
      <w:pPr>
        <w:pStyle w:val="BodyText"/>
        <w:spacing w:after="0" w:line="360" w:lineRule="auto"/>
        <w:jc w:val="thaiDistribute"/>
        <w:rPr>
          <w:rFonts w:ascii="Arial" w:hAnsi="Arial"/>
          <w:i/>
          <w:iCs/>
          <w:sz w:val="19"/>
          <w:szCs w:val="19"/>
        </w:rPr>
      </w:pPr>
    </w:p>
    <w:p w14:paraId="035ED3BD" w14:textId="66E449A0" w:rsidR="001F7F05" w:rsidRDefault="001F7F05" w:rsidP="001F7F05">
      <w:pPr>
        <w:pStyle w:val="BodyText"/>
        <w:spacing w:after="0" w:line="360" w:lineRule="auto"/>
        <w:jc w:val="thaiDistribute"/>
        <w:rPr>
          <w:rFonts w:ascii="Arial" w:hAnsi="Arial"/>
          <w:i/>
          <w:iCs/>
          <w:sz w:val="19"/>
          <w:szCs w:val="19"/>
        </w:rPr>
      </w:pPr>
    </w:p>
    <w:p w14:paraId="5EE96374" w14:textId="338DCCD0" w:rsidR="00F0514C" w:rsidRDefault="00F0514C" w:rsidP="001F7F05">
      <w:pPr>
        <w:pStyle w:val="BodyText"/>
        <w:spacing w:after="0" w:line="360" w:lineRule="auto"/>
        <w:jc w:val="thaiDistribute"/>
        <w:rPr>
          <w:rFonts w:ascii="Arial" w:hAnsi="Arial"/>
          <w:i/>
          <w:iCs/>
          <w:sz w:val="19"/>
          <w:szCs w:val="19"/>
        </w:rPr>
      </w:pPr>
    </w:p>
    <w:p w14:paraId="61F71902" w14:textId="5F874C93" w:rsidR="00F0514C" w:rsidRDefault="00F0514C" w:rsidP="001F7F05">
      <w:pPr>
        <w:pStyle w:val="BodyText"/>
        <w:spacing w:after="0" w:line="360" w:lineRule="auto"/>
        <w:jc w:val="thaiDistribute"/>
        <w:rPr>
          <w:rFonts w:ascii="Arial" w:hAnsi="Arial"/>
          <w:i/>
          <w:iCs/>
          <w:sz w:val="19"/>
          <w:szCs w:val="19"/>
        </w:rPr>
      </w:pPr>
    </w:p>
    <w:p w14:paraId="64917DFD" w14:textId="63FC3DB3" w:rsidR="00F0514C" w:rsidRDefault="00F0514C" w:rsidP="001F7F05">
      <w:pPr>
        <w:pStyle w:val="BodyText"/>
        <w:spacing w:after="0" w:line="360" w:lineRule="auto"/>
        <w:jc w:val="thaiDistribute"/>
        <w:rPr>
          <w:rFonts w:ascii="Arial" w:hAnsi="Arial"/>
          <w:i/>
          <w:iCs/>
          <w:sz w:val="19"/>
          <w:szCs w:val="19"/>
        </w:rPr>
      </w:pPr>
    </w:p>
    <w:p w14:paraId="5ED7DCFC" w14:textId="77777777" w:rsidR="00F0514C" w:rsidRDefault="00F0514C" w:rsidP="001F7F05">
      <w:pPr>
        <w:pStyle w:val="BodyText"/>
        <w:spacing w:after="0" w:line="360" w:lineRule="auto"/>
        <w:jc w:val="thaiDistribute"/>
        <w:rPr>
          <w:rFonts w:ascii="Arial" w:hAnsi="Arial"/>
          <w:i/>
          <w:iCs/>
          <w:sz w:val="19"/>
          <w:szCs w:val="19"/>
        </w:rPr>
      </w:pPr>
    </w:p>
    <w:p w14:paraId="22A51A12" w14:textId="77777777" w:rsidR="001F7F05" w:rsidRPr="001F7F05" w:rsidRDefault="001F7F05" w:rsidP="001F7F05">
      <w:pPr>
        <w:pStyle w:val="BodyText"/>
        <w:spacing w:after="0" w:line="360" w:lineRule="auto"/>
        <w:jc w:val="thaiDistribute"/>
        <w:rPr>
          <w:rFonts w:ascii="Arial" w:hAnsi="Arial" w:cstheme="minorBidi"/>
          <w:i/>
          <w:iCs/>
          <w:sz w:val="19"/>
          <w:szCs w:val="24"/>
          <w:cs/>
          <w:lang w:bidi="th-TH"/>
        </w:rPr>
      </w:pPr>
    </w:p>
    <w:p w14:paraId="198A98CE" w14:textId="77777777" w:rsidR="00EF1EAF" w:rsidRPr="001F7F05" w:rsidRDefault="00EF1EAF" w:rsidP="001F7F05">
      <w:pPr>
        <w:pStyle w:val="BodyText"/>
        <w:spacing w:after="0" w:line="360" w:lineRule="auto"/>
        <w:jc w:val="thaiDistribute"/>
        <w:rPr>
          <w:rFonts w:ascii="Arial" w:hAnsi="Arial"/>
          <w:i/>
          <w:iCs/>
          <w:sz w:val="19"/>
          <w:szCs w:val="19"/>
        </w:rPr>
      </w:pPr>
      <w:r w:rsidRPr="001F7F05">
        <w:rPr>
          <w:rFonts w:ascii="Arial" w:hAnsi="Arial"/>
          <w:i/>
          <w:iCs/>
          <w:sz w:val="19"/>
          <w:szCs w:val="19"/>
        </w:rPr>
        <w:lastRenderedPageBreak/>
        <w:t>Basis for Qualified Opinion</w:t>
      </w:r>
    </w:p>
    <w:p w14:paraId="18D18261" w14:textId="77777777" w:rsidR="0075214C" w:rsidRPr="001F7F05" w:rsidRDefault="0075214C" w:rsidP="001F7F05">
      <w:pPr>
        <w:pStyle w:val="BodyText"/>
        <w:spacing w:after="0" w:line="360" w:lineRule="auto"/>
        <w:jc w:val="thaiDistribute"/>
        <w:rPr>
          <w:rFonts w:ascii="Arial" w:hAnsi="Arial"/>
          <w:i/>
          <w:iCs/>
          <w:sz w:val="19"/>
          <w:szCs w:val="19"/>
        </w:rPr>
      </w:pPr>
    </w:p>
    <w:p w14:paraId="390417D9" w14:textId="1D2FCB4B" w:rsidR="00EF1EAF" w:rsidRPr="0032246D" w:rsidRDefault="00EF1EAF" w:rsidP="00EF1EAF">
      <w:pPr>
        <w:pStyle w:val="NormalWeb"/>
        <w:spacing w:after="0" w:line="360" w:lineRule="auto"/>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The basis for my qualified opinion </w:t>
      </w:r>
      <w:proofErr w:type="gramStart"/>
      <w:r w:rsidR="00652778">
        <w:rPr>
          <w:rFonts w:asciiTheme="majorHAnsi" w:hAnsiTheme="majorHAnsi" w:cstheme="majorHAnsi"/>
          <w:sz w:val="19"/>
          <w:szCs w:val="19"/>
          <w:lang w:val="en-US"/>
        </w:rPr>
        <w:t>are</w:t>
      </w:r>
      <w:proofErr w:type="gramEnd"/>
      <w:r w:rsidRPr="0032246D">
        <w:rPr>
          <w:rFonts w:asciiTheme="majorHAnsi" w:hAnsiTheme="majorHAnsi" w:cstheme="majorHAnsi"/>
          <w:sz w:val="19"/>
          <w:szCs w:val="19"/>
          <w:lang w:val="en-US"/>
        </w:rPr>
        <w:t xml:space="preserve"> as follows:</w:t>
      </w:r>
    </w:p>
    <w:p w14:paraId="29E37452" w14:textId="77777777" w:rsidR="0075214C" w:rsidRPr="00652778" w:rsidRDefault="0075214C" w:rsidP="001F7F05">
      <w:pPr>
        <w:pStyle w:val="BodyText"/>
        <w:spacing w:after="0" w:line="360" w:lineRule="auto"/>
        <w:jc w:val="thaiDistribute"/>
        <w:rPr>
          <w:rFonts w:ascii="Arial" w:hAnsi="Arial"/>
          <w:i/>
          <w:iCs/>
          <w:sz w:val="19"/>
          <w:szCs w:val="19"/>
          <w:lang w:val="en-US"/>
        </w:rPr>
      </w:pPr>
    </w:p>
    <w:p w14:paraId="5C3A3489" w14:textId="38838DCB" w:rsidR="00B67D9B" w:rsidRDefault="008212DB" w:rsidP="00B67D9B">
      <w:pPr>
        <w:pStyle w:val="ListParagraph"/>
        <w:numPr>
          <w:ilvl w:val="0"/>
          <w:numId w:val="44"/>
        </w:numPr>
        <w:spacing w:after="0" w:line="360" w:lineRule="auto"/>
        <w:ind w:left="450" w:hanging="450"/>
        <w:contextualSpacing w:val="0"/>
        <w:jc w:val="thaiDistribute"/>
        <w:rPr>
          <w:rFonts w:asciiTheme="majorHAnsi" w:hAnsiTheme="majorHAnsi" w:cstheme="majorHAnsi"/>
          <w:sz w:val="19"/>
          <w:szCs w:val="19"/>
          <w:lang w:val="en-US"/>
        </w:rPr>
      </w:pPr>
      <w:r w:rsidRPr="000C405C">
        <w:rPr>
          <w:rFonts w:asciiTheme="majorHAnsi" w:hAnsiTheme="majorHAnsi" w:cstheme="majorHAnsi"/>
          <w:sz w:val="19"/>
          <w:szCs w:val="19"/>
          <w:lang w:val="en-US"/>
        </w:rPr>
        <w:t>As at 31 December 2018, the consolidated financial statements include trade accounts receivable of an overseas subsidiary totaling Baht 2</w:t>
      </w:r>
      <w:r w:rsidR="00A47B91">
        <w:rPr>
          <w:rFonts w:asciiTheme="majorHAnsi" w:hAnsiTheme="majorHAnsi" w:cstheme="majorHAnsi"/>
          <w:sz w:val="19"/>
          <w:szCs w:val="19"/>
          <w:lang w:val="en-US"/>
        </w:rPr>
        <w:t>69</w:t>
      </w:r>
      <w:r w:rsidRPr="000C405C">
        <w:rPr>
          <w:rFonts w:asciiTheme="majorHAnsi" w:hAnsiTheme="majorHAnsi" w:cstheme="majorHAnsi"/>
          <w:sz w:val="19"/>
          <w:szCs w:val="19"/>
          <w:lang w:val="en-US"/>
        </w:rPr>
        <w:t>.</w:t>
      </w:r>
      <w:r w:rsidR="00A47B91">
        <w:rPr>
          <w:rFonts w:asciiTheme="majorHAnsi" w:hAnsiTheme="majorHAnsi" w:cstheme="majorHAnsi"/>
          <w:sz w:val="19"/>
          <w:szCs w:val="19"/>
          <w:lang w:val="en-US"/>
        </w:rPr>
        <w:t>76</w:t>
      </w:r>
      <w:r w:rsidRPr="000C405C">
        <w:rPr>
          <w:rFonts w:asciiTheme="majorHAnsi" w:hAnsiTheme="majorHAnsi" w:cstheme="majorHAnsi"/>
          <w:sz w:val="19"/>
          <w:szCs w:val="19"/>
          <w:lang w:val="en-US"/>
        </w:rPr>
        <w:t xml:space="preserve"> million (net allowance for doubtful account of Baht 3</w:t>
      </w:r>
      <w:r w:rsidR="00A47B91">
        <w:rPr>
          <w:rFonts w:asciiTheme="majorHAnsi" w:hAnsiTheme="majorHAnsi" w:cstheme="majorHAnsi"/>
          <w:sz w:val="19"/>
          <w:szCs w:val="19"/>
          <w:lang w:val="en-US"/>
        </w:rPr>
        <w:t>6</w:t>
      </w:r>
      <w:r w:rsidRPr="000C405C">
        <w:rPr>
          <w:rFonts w:asciiTheme="majorHAnsi" w:hAnsiTheme="majorHAnsi" w:cstheme="majorHAnsi"/>
          <w:sz w:val="19"/>
          <w:szCs w:val="19"/>
          <w:lang w:val="en-US"/>
        </w:rPr>
        <w:t>.</w:t>
      </w:r>
      <w:r w:rsidR="00A47B91">
        <w:rPr>
          <w:rFonts w:asciiTheme="majorHAnsi" w:hAnsiTheme="majorHAnsi" w:cstheme="majorHAnsi"/>
          <w:sz w:val="19"/>
          <w:szCs w:val="19"/>
          <w:lang w:val="en-US"/>
        </w:rPr>
        <w:t>93</w:t>
      </w:r>
      <w:r w:rsidRPr="000C405C">
        <w:rPr>
          <w:rFonts w:asciiTheme="majorHAnsi" w:hAnsiTheme="majorHAnsi" w:cstheme="majorHAnsi"/>
          <w:sz w:val="19"/>
          <w:szCs w:val="19"/>
          <w:lang w:val="en-US"/>
        </w:rPr>
        <w:t xml:space="preserve"> million). Such receivable is in the process of debt settlement in accordance with the plan. The Company’s management therefore, believes that such amounts can be realized</w:t>
      </w:r>
      <w:r w:rsidRPr="000C405C">
        <w:rPr>
          <w:rFonts w:asciiTheme="majorHAnsi" w:hAnsiTheme="majorHAnsi" w:cstheme="majorHAnsi" w:hint="cs"/>
          <w:sz w:val="19"/>
          <w:szCs w:val="19"/>
          <w:cs/>
          <w:lang w:val="en-US" w:bidi="th-TH"/>
        </w:rPr>
        <w:t xml:space="preserve"> </w:t>
      </w:r>
      <w:r w:rsidRPr="000C405C">
        <w:rPr>
          <w:rFonts w:asciiTheme="majorHAnsi" w:hAnsiTheme="majorHAnsi" w:cstheme="majorHAnsi"/>
          <w:sz w:val="19"/>
          <w:szCs w:val="19"/>
          <w:lang w:val="en-US"/>
        </w:rPr>
        <w:t>and the allowance for impairment recognized in the accounts based on discounted cash flows from the repayment plan of such receivable is adequate and appropriate. I am unable to assess the potential impact (if any) to such outstanding balances and the corresponding impact to consolidated and separate financial position and consolidated and separate results of operations for current year.</w:t>
      </w:r>
    </w:p>
    <w:p w14:paraId="186B073A" w14:textId="77777777" w:rsidR="00B67D9B" w:rsidRPr="001F7F05" w:rsidRDefault="00B67D9B" w:rsidP="001F7F05">
      <w:pPr>
        <w:pStyle w:val="BodyText"/>
        <w:spacing w:after="0" w:line="360" w:lineRule="auto"/>
        <w:jc w:val="thaiDistribute"/>
        <w:rPr>
          <w:rFonts w:ascii="Arial" w:hAnsi="Arial"/>
          <w:i/>
          <w:iCs/>
          <w:sz w:val="19"/>
          <w:szCs w:val="19"/>
        </w:rPr>
      </w:pPr>
    </w:p>
    <w:p w14:paraId="0F9D10E3" w14:textId="3C3B6F95" w:rsidR="00A47B91" w:rsidRDefault="00A47B91" w:rsidP="00B67D9B">
      <w:pPr>
        <w:pStyle w:val="ListParagraph"/>
        <w:numPr>
          <w:ilvl w:val="0"/>
          <w:numId w:val="44"/>
        </w:numPr>
        <w:spacing w:after="0" w:line="360" w:lineRule="auto"/>
        <w:ind w:left="450" w:hanging="450"/>
        <w:contextualSpacing w:val="0"/>
        <w:jc w:val="thaiDistribute"/>
        <w:rPr>
          <w:rFonts w:asciiTheme="majorHAnsi" w:hAnsiTheme="majorHAnsi" w:cstheme="majorHAnsi"/>
          <w:sz w:val="19"/>
          <w:szCs w:val="19"/>
          <w:lang w:val="en-US"/>
        </w:rPr>
      </w:pPr>
      <w:r>
        <w:rPr>
          <w:rFonts w:asciiTheme="majorHAnsi" w:hAnsiTheme="majorHAnsi" w:cstheme="majorHAnsi"/>
          <w:sz w:val="19"/>
          <w:szCs w:val="19"/>
          <w:lang w:val="en-US"/>
        </w:rPr>
        <w:t xml:space="preserve">As discussed in Note 8 to the financial statements, the Company has not received </w:t>
      </w:r>
      <w:r w:rsidR="00A20CEF">
        <w:rPr>
          <w:rFonts w:asciiTheme="majorHAnsi" w:hAnsiTheme="majorHAnsi" w:cs="Browallia New"/>
          <w:sz w:val="19"/>
          <w:szCs w:val="24"/>
          <w:lang w:val="en-US" w:bidi="th-TH"/>
        </w:rPr>
        <w:t>payment</w:t>
      </w:r>
      <w:r w:rsidR="00652778">
        <w:rPr>
          <w:rFonts w:asciiTheme="majorHAnsi" w:hAnsiTheme="majorHAnsi" w:cs="Browallia New"/>
          <w:sz w:val="19"/>
          <w:szCs w:val="24"/>
          <w:lang w:val="en-US" w:bidi="th-TH"/>
        </w:rPr>
        <w:t>s</w:t>
      </w:r>
      <w:r w:rsidR="00A20CEF">
        <w:rPr>
          <w:rFonts w:asciiTheme="majorHAnsi" w:hAnsiTheme="majorHAnsi" w:cs="Browallia New"/>
          <w:sz w:val="19"/>
          <w:szCs w:val="24"/>
          <w:lang w:val="en-US" w:bidi="th-TH"/>
        </w:rPr>
        <w:t xml:space="preserve"> for </w:t>
      </w:r>
      <w:r>
        <w:rPr>
          <w:rFonts w:asciiTheme="majorHAnsi" w:hAnsiTheme="majorHAnsi" w:cstheme="majorHAnsi"/>
          <w:sz w:val="19"/>
          <w:szCs w:val="19"/>
          <w:lang w:val="en-US"/>
        </w:rPr>
        <w:t>some</w:t>
      </w:r>
      <w:r w:rsidR="00A20CEF">
        <w:rPr>
          <w:rFonts w:asciiTheme="majorHAnsi" w:hAnsiTheme="majorHAnsi" w:cstheme="majorHAnsi"/>
          <w:sz w:val="19"/>
          <w:szCs w:val="19"/>
          <w:lang w:val="en-US"/>
        </w:rPr>
        <w:t xml:space="preserve"> portion of construction work</w:t>
      </w:r>
      <w:r w:rsidR="00652778">
        <w:rPr>
          <w:rFonts w:asciiTheme="majorHAnsi" w:hAnsiTheme="majorHAnsi" w:cstheme="majorHAnsi"/>
          <w:sz w:val="19"/>
          <w:szCs w:val="19"/>
          <w:lang w:val="en-US"/>
        </w:rPr>
        <w:t xml:space="preserve"> totaling</w:t>
      </w:r>
      <w:r w:rsidR="00A20CEF">
        <w:rPr>
          <w:rFonts w:asciiTheme="majorHAnsi" w:hAnsiTheme="majorHAnsi" w:cstheme="majorHAnsi"/>
          <w:sz w:val="19"/>
          <w:szCs w:val="19"/>
          <w:lang w:val="en-US"/>
        </w:rPr>
        <w:t xml:space="preserve"> Baht 825.33 million </w:t>
      </w:r>
      <w:r w:rsidR="00652778">
        <w:rPr>
          <w:rFonts w:asciiTheme="majorHAnsi" w:hAnsiTheme="majorHAnsi" w:cstheme="majorHAnsi"/>
          <w:sz w:val="19"/>
          <w:szCs w:val="19"/>
          <w:lang w:val="en-US"/>
        </w:rPr>
        <w:t xml:space="preserve">for amount </w:t>
      </w:r>
      <w:r w:rsidR="00A20CEF">
        <w:rPr>
          <w:rFonts w:asciiTheme="majorHAnsi" w:hAnsiTheme="majorHAnsi" w:cstheme="majorHAnsi"/>
          <w:sz w:val="19"/>
          <w:szCs w:val="19"/>
          <w:lang w:val="en-US"/>
        </w:rPr>
        <w:t>bill</w:t>
      </w:r>
      <w:r w:rsidR="00652778">
        <w:rPr>
          <w:rFonts w:asciiTheme="majorHAnsi" w:hAnsiTheme="majorHAnsi" w:cstheme="majorHAnsi"/>
          <w:sz w:val="19"/>
          <w:szCs w:val="19"/>
          <w:lang w:val="en-US"/>
        </w:rPr>
        <w:t xml:space="preserve">ed to a State Enterprise for </w:t>
      </w:r>
      <w:r w:rsidR="00A20CEF">
        <w:rPr>
          <w:rFonts w:asciiTheme="majorHAnsi" w:hAnsiTheme="majorHAnsi" w:cstheme="majorHAnsi"/>
          <w:sz w:val="19"/>
          <w:szCs w:val="19"/>
          <w:lang w:val="en-US"/>
        </w:rPr>
        <w:t xml:space="preserve">construction work since the Company </w:t>
      </w:r>
      <w:r w:rsidR="00652778">
        <w:rPr>
          <w:rFonts w:asciiTheme="majorHAnsi" w:hAnsiTheme="majorHAnsi" w:cstheme="majorHAnsi"/>
          <w:sz w:val="19"/>
          <w:szCs w:val="19"/>
          <w:lang w:val="en-US"/>
        </w:rPr>
        <w:t>was not able to complete</w:t>
      </w:r>
      <w:r w:rsidR="00A20CEF">
        <w:rPr>
          <w:rFonts w:asciiTheme="majorHAnsi" w:hAnsiTheme="majorHAnsi" w:cstheme="majorHAnsi"/>
          <w:sz w:val="19"/>
          <w:szCs w:val="19"/>
          <w:lang w:val="en-US"/>
        </w:rPr>
        <w:t xml:space="preserve"> some</w:t>
      </w:r>
      <w:r w:rsidR="00652778">
        <w:rPr>
          <w:rFonts w:asciiTheme="majorHAnsi" w:hAnsiTheme="majorHAnsi" w:cstheme="majorHAnsi"/>
          <w:sz w:val="19"/>
          <w:szCs w:val="19"/>
          <w:lang w:val="en-US"/>
        </w:rPr>
        <w:t xml:space="preserve"> parts of</w:t>
      </w:r>
      <w:r w:rsidR="00A20CEF">
        <w:rPr>
          <w:rFonts w:asciiTheme="majorHAnsi" w:hAnsiTheme="majorHAnsi" w:cstheme="majorHAnsi"/>
          <w:sz w:val="19"/>
          <w:szCs w:val="19"/>
          <w:lang w:val="en-US"/>
        </w:rPr>
        <w:t xml:space="preserve"> construction work </w:t>
      </w:r>
      <w:r w:rsidR="0031039A">
        <w:rPr>
          <w:rFonts w:asciiTheme="majorHAnsi" w:hAnsiTheme="majorHAnsi" w:cstheme="majorHAnsi"/>
          <w:sz w:val="19"/>
          <w:szCs w:val="19"/>
          <w:lang w:val="en-US"/>
        </w:rPr>
        <w:t>follow</w:t>
      </w:r>
      <w:r w:rsidR="00652778">
        <w:rPr>
          <w:rFonts w:asciiTheme="majorHAnsi" w:hAnsiTheme="majorHAnsi" w:cstheme="majorHAnsi"/>
          <w:sz w:val="19"/>
          <w:szCs w:val="19"/>
          <w:lang w:val="en-US"/>
        </w:rPr>
        <w:t>ing</w:t>
      </w:r>
      <w:r w:rsidR="00A20CEF">
        <w:rPr>
          <w:rFonts w:asciiTheme="majorHAnsi" w:hAnsiTheme="majorHAnsi" w:cstheme="majorHAnsi"/>
          <w:sz w:val="19"/>
          <w:szCs w:val="19"/>
          <w:lang w:val="en-US"/>
        </w:rPr>
        <w:t xml:space="preserve"> the milestone</w:t>
      </w:r>
      <w:r w:rsidR="00652778">
        <w:rPr>
          <w:rFonts w:asciiTheme="majorHAnsi" w:hAnsiTheme="majorHAnsi" w:cstheme="majorHAnsi"/>
          <w:sz w:val="19"/>
          <w:szCs w:val="19"/>
          <w:lang w:val="en-US"/>
        </w:rPr>
        <w:t>s</w:t>
      </w:r>
      <w:r w:rsidR="00A20CEF">
        <w:rPr>
          <w:rFonts w:asciiTheme="majorHAnsi" w:hAnsiTheme="majorHAnsi" w:cstheme="majorHAnsi"/>
          <w:sz w:val="19"/>
          <w:szCs w:val="19"/>
          <w:lang w:val="en-US"/>
        </w:rPr>
        <w:t xml:space="preserve"> plan</w:t>
      </w:r>
      <w:r w:rsidR="0031039A">
        <w:rPr>
          <w:rFonts w:asciiTheme="majorHAnsi" w:hAnsiTheme="majorHAnsi" w:cstheme="majorHAnsi"/>
          <w:sz w:val="19"/>
          <w:szCs w:val="19"/>
          <w:lang w:val="en-US"/>
        </w:rPr>
        <w:t xml:space="preserve">. </w:t>
      </w:r>
      <w:r w:rsidR="00652778">
        <w:rPr>
          <w:rFonts w:asciiTheme="majorHAnsi" w:hAnsiTheme="majorHAnsi" w:cstheme="majorHAnsi"/>
          <w:sz w:val="19"/>
          <w:szCs w:val="19"/>
          <w:lang w:val="en-US"/>
        </w:rPr>
        <w:t>T</w:t>
      </w:r>
      <w:r w:rsidR="0031039A">
        <w:rPr>
          <w:rFonts w:asciiTheme="majorHAnsi" w:hAnsiTheme="majorHAnsi" w:cstheme="majorHAnsi"/>
          <w:sz w:val="19"/>
          <w:szCs w:val="19"/>
          <w:lang w:val="en-US"/>
        </w:rPr>
        <w:t>he Company has been negotiatin</w:t>
      </w:r>
      <w:r w:rsidR="00652778">
        <w:rPr>
          <w:rFonts w:asciiTheme="majorHAnsi" w:hAnsiTheme="majorHAnsi" w:cstheme="majorHAnsi"/>
          <w:sz w:val="19"/>
          <w:szCs w:val="19"/>
          <w:lang w:val="en-US"/>
        </w:rPr>
        <w:t xml:space="preserve">g for the employer to approve the </w:t>
      </w:r>
      <w:r w:rsidR="0031039A">
        <w:rPr>
          <w:rFonts w:asciiTheme="majorHAnsi" w:hAnsiTheme="majorHAnsi" w:cstheme="majorHAnsi"/>
          <w:sz w:val="19"/>
          <w:szCs w:val="19"/>
          <w:lang w:val="en-US"/>
        </w:rPr>
        <w:t>exten</w:t>
      </w:r>
      <w:r w:rsidR="00652778">
        <w:rPr>
          <w:rFonts w:asciiTheme="majorHAnsi" w:hAnsiTheme="majorHAnsi" w:cstheme="majorHAnsi"/>
          <w:sz w:val="19"/>
          <w:szCs w:val="19"/>
          <w:lang w:val="en-US"/>
        </w:rPr>
        <w:t>sion of</w:t>
      </w:r>
      <w:r w:rsidR="0031039A">
        <w:rPr>
          <w:rFonts w:asciiTheme="majorHAnsi" w:hAnsiTheme="majorHAnsi" w:cstheme="majorHAnsi"/>
          <w:sz w:val="19"/>
          <w:szCs w:val="19"/>
          <w:lang w:val="en-US"/>
        </w:rPr>
        <w:t xml:space="preserve"> </w:t>
      </w:r>
      <w:r w:rsidR="008B5720">
        <w:rPr>
          <w:rFonts w:asciiTheme="majorHAnsi" w:hAnsiTheme="majorHAnsi" w:cs="Browallia New"/>
          <w:sz w:val="19"/>
          <w:szCs w:val="24"/>
          <w:lang w:val="en-US" w:bidi="th-TH"/>
        </w:rPr>
        <w:t>time for the construction completion</w:t>
      </w:r>
      <w:r w:rsidR="0031039A" w:rsidRPr="00DD245A">
        <w:rPr>
          <w:rFonts w:asciiTheme="majorHAnsi" w:hAnsiTheme="majorHAnsi" w:cstheme="majorHAnsi"/>
          <w:sz w:val="19"/>
          <w:szCs w:val="19"/>
          <w:lang w:val="en-US"/>
        </w:rPr>
        <w:t>.</w:t>
      </w:r>
      <w:r w:rsidR="0031039A">
        <w:rPr>
          <w:rFonts w:asciiTheme="majorHAnsi" w:hAnsiTheme="majorHAnsi" w:cstheme="majorHAnsi"/>
          <w:sz w:val="19"/>
          <w:szCs w:val="19"/>
          <w:lang w:val="en-US"/>
        </w:rPr>
        <w:t xml:space="preserve"> This process has been initially considered by the project consultant and will be process</w:t>
      </w:r>
      <w:r w:rsidR="00652778">
        <w:rPr>
          <w:rFonts w:asciiTheme="majorHAnsi" w:hAnsiTheme="majorHAnsi" w:cstheme="majorHAnsi"/>
          <w:sz w:val="19"/>
          <w:szCs w:val="19"/>
          <w:lang w:val="en-US"/>
        </w:rPr>
        <w:t>ed for submission</w:t>
      </w:r>
      <w:r w:rsidR="0031039A">
        <w:rPr>
          <w:rFonts w:asciiTheme="majorHAnsi" w:hAnsiTheme="majorHAnsi" w:cstheme="majorHAnsi"/>
          <w:sz w:val="19"/>
          <w:szCs w:val="19"/>
          <w:lang w:val="en-US"/>
        </w:rPr>
        <w:t xml:space="preserve"> to th</w:t>
      </w:r>
      <w:r w:rsidR="00562120">
        <w:rPr>
          <w:rFonts w:asciiTheme="majorHAnsi" w:hAnsiTheme="majorHAnsi" w:cstheme="majorHAnsi"/>
          <w:sz w:val="19"/>
          <w:szCs w:val="19"/>
          <w:lang w:val="en-US"/>
        </w:rPr>
        <w:t>e work inspection committee</w:t>
      </w:r>
      <w:r w:rsidR="00652778">
        <w:rPr>
          <w:rFonts w:asciiTheme="majorHAnsi" w:hAnsiTheme="majorHAnsi" w:cstheme="majorHAnsi"/>
          <w:sz w:val="19"/>
          <w:szCs w:val="19"/>
          <w:lang w:val="en-US"/>
        </w:rPr>
        <w:t xml:space="preserve"> of the employer</w:t>
      </w:r>
      <w:r w:rsidR="00562120">
        <w:rPr>
          <w:rFonts w:asciiTheme="majorHAnsi" w:hAnsiTheme="majorHAnsi" w:cstheme="majorHAnsi"/>
          <w:sz w:val="19"/>
          <w:szCs w:val="19"/>
          <w:lang w:val="en-US"/>
        </w:rPr>
        <w:t>. The</w:t>
      </w:r>
      <w:r w:rsidR="006D4DBF">
        <w:rPr>
          <w:rFonts w:asciiTheme="majorHAnsi" w:hAnsiTheme="majorHAnsi" w:cstheme="majorHAnsi"/>
          <w:sz w:val="19"/>
          <w:szCs w:val="19"/>
          <w:lang w:val="en-US"/>
        </w:rPr>
        <w:t xml:space="preserve"> proceeds for the billing values is dependent on</w:t>
      </w:r>
      <w:r w:rsidR="00562120">
        <w:rPr>
          <w:rFonts w:asciiTheme="majorHAnsi" w:hAnsiTheme="majorHAnsi" w:cstheme="majorHAnsi"/>
          <w:sz w:val="19"/>
          <w:szCs w:val="19"/>
          <w:lang w:val="en-US"/>
        </w:rPr>
        <w:t xml:space="preserve"> the approval </w:t>
      </w:r>
      <w:r w:rsidR="006D4DBF">
        <w:rPr>
          <w:rFonts w:asciiTheme="majorHAnsi" w:hAnsiTheme="majorHAnsi" w:cstheme="majorHAnsi"/>
          <w:sz w:val="19"/>
          <w:szCs w:val="19"/>
          <w:lang w:val="en-US"/>
        </w:rPr>
        <w:t>of the employer for the</w:t>
      </w:r>
      <w:r w:rsidR="00562120">
        <w:rPr>
          <w:rFonts w:asciiTheme="majorHAnsi" w:hAnsiTheme="majorHAnsi" w:cstheme="majorHAnsi"/>
          <w:sz w:val="19"/>
          <w:szCs w:val="19"/>
          <w:lang w:val="en-US"/>
        </w:rPr>
        <w:t xml:space="preserve"> exten</w:t>
      </w:r>
      <w:r w:rsidR="006D4DBF">
        <w:rPr>
          <w:rFonts w:asciiTheme="majorHAnsi" w:hAnsiTheme="majorHAnsi" w:cstheme="majorHAnsi"/>
          <w:sz w:val="19"/>
          <w:szCs w:val="19"/>
          <w:lang w:val="en-US"/>
        </w:rPr>
        <w:t xml:space="preserve">sion of the milestone for the completion of </w:t>
      </w:r>
      <w:r w:rsidR="00562120">
        <w:rPr>
          <w:rFonts w:asciiTheme="majorHAnsi" w:hAnsiTheme="majorHAnsi" w:cstheme="majorHAnsi"/>
          <w:sz w:val="19"/>
          <w:szCs w:val="19"/>
          <w:lang w:val="en-US"/>
        </w:rPr>
        <w:t>construction</w:t>
      </w:r>
      <w:r w:rsidR="006D4DBF">
        <w:rPr>
          <w:rFonts w:asciiTheme="majorHAnsi" w:hAnsiTheme="majorHAnsi" w:cstheme="majorHAnsi"/>
          <w:sz w:val="19"/>
          <w:szCs w:val="19"/>
          <w:lang w:val="en-US"/>
        </w:rPr>
        <w:t xml:space="preserve"> work.</w:t>
      </w:r>
      <w:r w:rsidR="00562120">
        <w:rPr>
          <w:rFonts w:asciiTheme="majorHAnsi" w:hAnsiTheme="majorHAnsi" w:cstheme="majorHAnsi"/>
          <w:sz w:val="19"/>
          <w:szCs w:val="19"/>
          <w:lang w:val="en-US"/>
        </w:rPr>
        <w:t xml:space="preserve"> The Company’s management believes that the</w:t>
      </w:r>
      <w:r w:rsidR="006D4DBF">
        <w:rPr>
          <w:rFonts w:asciiTheme="majorHAnsi" w:hAnsiTheme="majorHAnsi" w:cstheme="majorHAnsi"/>
          <w:sz w:val="19"/>
          <w:szCs w:val="19"/>
          <w:lang w:val="en-US"/>
        </w:rPr>
        <w:t xml:space="preserve"> Company</w:t>
      </w:r>
      <w:r w:rsidR="00562120">
        <w:rPr>
          <w:rFonts w:asciiTheme="majorHAnsi" w:hAnsiTheme="majorHAnsi" w:cstheme="majorHAnsi"/>
          <w:sz w:val="19"/>
          <w:szCs w:val="19"/>
          <w:lang w:val="en-US"/>
        </w:rPr>
        <w:t xml:space="preserve"> will</w:t>
      </w:r>
      <w:r w:rsidR="006D4DBF">
        <w:rPr>
          <w:rFonts w:asciiTheme="majorHAnsi" w:hAnsiTheme="majorHAnsi" w:cstheme="majorHAnsi"/>
          <w:sz w:val="19"/>
          <w:szCs w:val="19"/>
          <w:lang w:val="en-US"/>
        </w:rPr>
        <w:t xml:space="preserve"> get</w:t>
      </w:r>
      <w:r w:rsidR="00562120">
        <w:rPr>
          <w:rFonts w:asciiTheme="majorHAnsi" w:hAnsiTheme="majorHAnsi" w:cstheme="majorHAnsi"/>
          <w:sz w:val="19"/>
          <w:szCs w:val="19"/>
          <w:lang w:val="en-US"/>
        </w:rPr>
        <w:t xml:space="preserve"> the approval</w:t>
      </w:r>
      <w:r w:rsidR="006D4DBF">
        <w:rPr>
          <w:rFonts w:asciiTheme="majorHAnsi" w:hAnsiTheme="majorHAnsi" w:cstheme="majorHAnsi"/>
          <w:sz w:val="19"/>
          <w:szCs w:val="19"/>
          <w:lang w:val="en-US"/>
        </w:rPr>
        <w:t xml:space="preserve"> in the near future and</w:t>
      </w:r>
      <w:r w:rsidR="00562120">
        <w:rPr>
          <w:rFonts w:asciiTheme="majorHAnsi" w:hAnsiTheme="majorHAnsi" w:cstheme="majorHAnsi"/>
          <w:sz w:val="19"/>
          <w:szCs w:val="19"/>
          <w:lang w:val="en-US"/>
        </w:rPr>
        <w:t xml:space="preserve"> will receive the</w:t>
      </w:r>
      <w:r w:rsidR="006D4DBF">
        <w:rPr>
          <w:rFonts w:asciiTheme="majorHAnsi" w:hAnsiTheme="majorHAnsi" w:cstheme="majorHAnsi"/>
          <w:sz w:val="19"/>
          <w:szCs w:val="19"/>
          <w:lang w:val="en-US"/>
        </w:rPr>
        <w:t xml:space="preserve"> full payment for its bill.</w:t>
      </w:r>
      <w:r w:rsidR="00562120">
        <w:rPr>
          <w:rFonts w:asciiTheme="majorHAnsi" w:hAnsiTheme="majorHAnsi" w:cstheme="majorHAnsi"/>
          <w:sz w:val="19"/>
          <w:szCs w:val="19"/>
          <w:lang w:val="en-US"/>
        </w:rPr>
        <w:t xml:space="preserve"> The Company therefore </w:t>
      </w:r>
      <w:r w:rsidR="006D4DBF">
        <w:rPr>
          <w:rFonts w:asciiTheme="majorHAnsi" w:hAnsiTheme="majorHAnsi" w:cstheme="majorHAnsi"/>
          <w:sz w:val="19"/>
          <w:szCs w:val="19"/>
          <w:lang w:val="en-US"/>
        </w:rPr>
        <w:t>has</w:t>
      </w:r>
      <w:r w:rsidR="00562120">
        <w:rPr>
          <w:rFonts w:asciiTheme="majorHAnsi" w:hAnsiTheme="majorHAnsi" w:cstheme="majorHAnsi"/>
          <w:sz w:val="19"/>
          <w:szCs w:val="19"/>
          <w:lang w:val="en-US"/>
        </w:rPr>
        <w:t xml:space="preserve"> not set up</w:t>
      </w:r>
      <w:r w:rsidR="0024743F">
        <w:rPr>
          <w:rFonts w:asciiTheme="majorHAnsi" w:hAnsiTheme="majorHAnsi" w:cstheme="majorHAnsi"/>
          <w:sz w:val="19"/>
          <w:szCs w:val="19"/>
          <w:lang w:val="en-US"/>
        </w:rPr>
        <w:t xml:space="preserve"> allowance</w:t>
      </w:r>
      <w:r w:rsidR="00DD245A">
        <w:rPr>
          <w:rFonts w:asciiTheme="majorHAnsi" w:hAnsiTheme="majorHAnsi" w:cstheme="majorHAnsi"/>
          <w:sz w:val="19"/>
          <w:szCs w:val="19"/>
          <w:lang w:val="en-US"/>
        </w:rPr>
        <w:t>,</w:t>
      </w:r>
      <w:r w:rsidR="0024743F">
        <w:rPr>
          <w:rFonts w:asciiTheme="majorHAnsi" w:hAnsiTheme="majorHAnsi" w:cstheme="majorHAnsi"/>
          <w:sz w:val="19"/>
          <w:szCs w:val="19"/>
          <w:lang w:val="en-US"/>
        </w:rPr>
        <w:t xml:space="preserve"> for amount that might be </w:t>
      </w:r>
      <w:r w:rsidR="006D4DBF">
        <w:rPr>
          <w:rFonts w:asciiTheme="majorHAnsi" w:hAnsiTheme="majorHAnsi" w:cstheme="majorHAnsi"/>
          <w:sz w:val="19"/>
          <w:szCs w:val="19"/>
          <w:lang w:val="en-US"/>
        </w:rPr>
        <w:t>un</w:t>
      </w:r>
      <w:r w:rsidR="0024743F">
        <w:rPr>
          <w:rFonts w:asciiTheme="majorHAnsi" w:hAnsiTheme="majorHAnsi" w:cstheme="majorHAnsi"/>
          <w:sz w:val="19"/>
          <w:szCs w:val="19"/>
          <w:lang w:val="en-US"/>
        </w:rPr>
        <w:t>collect</w:t>
      </w:r>
      <w:r w:rsidR="00650AFE">
        <w:rPr>
          <w:rFonts w:asciiTheme="majorHAnsi" w:hAnsiTheme="majorHAnsi" w:cstheme="majorHAnsi"/>
          <w:sz w:val="19"/>
          <w:szCs w:val="19"/>
          <w:lang w:val="en-US"/>
        </w:rPr>
        <w:t>able</w:t>
      </w:r>
      <w:r w:rsidR="0024743F">
        <w:rPr>
          <w:rFonts w:asciiTheme="majorHAnsi" w:hAnsiTheme="majorHAnsi" w:cstheme="majorHAnsi"/>
          <w:sz w:val="19"/>
          <w:szCs w:val="19"/>
          <w:lang w:val="en-US"/>
        </w:rPr>
        <w:t xml:space="preserve"> for</w:t>
      </w:r>
      <w:r w:rsidR="00562120">
        <w:rPr>
          <w:rFonts w:asciiTheme="majorHAnsi" w:hAnsiTheme="majorHAnsi" w:cstheme="majorHAnsi"/>
          <w:sz w:val="19"/>
          <w:szCs w:val="19"/>
          <w:lang w:val="en-US"/>
        </w:rPr>
        <w:t xml:space="preserve"> some part</w:t>
      </w:r>
      <w:r w:rsidR="00650AFE">
        <w:rPr>
          <w:rFonts w:asciiTheme="majorHAnsi" w:hAnsiTheme="majorHAnsi" w:cstheme="majorHAnsi"/>
          <w:sz w:val="19"/>
          <w:szCs w:val="19"/>
          <w:lang w:val="en-US"/>
        </w:rPr>
        <w:t>s</w:t>
      </w:r>
      <w:r w:rsidR="00562120">
        <w:rPr>
          <w:rFonts w:asciiTheme="majorHAnsi" w:hAnsiTheme="majorHAnsi" w:cstheme="majorHAnsi"/>
          <w:sz w:val="19"/>
          <w:szCs w:val="19"/>
          <w:lang w:val="en-US"/>
        </w:rPr>
        <w:t xml:space="preserve"> of</w:t>
      </w:r>
      <w:r w:rsidR="00650AFE">
        <w:rPr>
          <w:rFonts w:asciiTheme="majorHAnsi" w:hAnsiTheme="majorHAnsi" w:cstheme="majorHAnsi"/>
          <w:sz w:val="19"/>
          <w:szCs w:val="19"/>
          <w:lang w:val="en-US"/>
        </w:rPr>
        <w:t xml:space="preserve"> such outstanding amount</w:t>
      </w:r>
      <w:r w:rsidR="00650AFE">
        <w:rPr>
          <w:rFonts w:asciiTheme="majorHAnsi" w:hAnsiTheme="majorHAnsi" w:cstheme="minorBidi" w:hint="cs"/>
          <w:sz w:val="19"/>
          <w:szCs w:val="24"/>
          <w:cs/>
          <w:lang w:val="en-US" w:bidi="th-TH"/>
        </w:rPr>
        <w:t xml:space="preserve"> </w:t>
      </w:r>
      <w:r w:rsidR="00650AFE">
        <w:rPr>
          <w:rFonts w:asciiTheme="majorHAnsi" w:hAnsiTheme="majorHAnsi" w:cstheme="minorBidi"/>
          <w:sz w:val="19"/>
          <w:szCs w:val="24"/>
          <w:lang w:val="en-US" w:bidi="th-TH"/>
        </w:rPr>
        <w:t>for</w:t>
      </w:r>
      <w:r w:rsidR="00562120">
        <w:rPr>
          <w:rFonts w:asciiTheme="majorHAnsi" w:hAnsiTheme="majorHAnsi" w:cstheme="majorHAnsi"/>
          <w:sz w:val="19"/>
          <w:szCs w:val="19"/>
          <w:lang w:val="en-US"/>
        </w:rPr>
        <w:t xml:space="preserve"> construction work which</w:t>
      </w:r>
      <w:r w:rsidR="0024743F">
        <w:rPr>
          <w:rFonts w:asciiTheme="majorHAnsi" w:hAnsiTheme="majorHAnsi" w:cstheme="majorHAnsi"/>
          <w:sz w:val="19"/>
          <w:szCs w:val="19"/>
          <w:lang w:val="en-US"/>
        </w:rPr>
        <w:t xml:space="preserve"> </w:t>
      </w:r>
      <w:r w:rsidR="00DD245A">
        <w:rPr>
          <w:rFonts w:asciiTheme="majorHAnsi" w:hAnsiTheme="majorHAnsi" w:cstheme="majorHAnsi"/>
          <w:sz w:val="19"/>
          <w:szCs w:val="19"/>
          <w:lang w:val="en-US"/>
        </w:rPr>
        <w:t>wa</w:t>
      </w:r>
      <w:r w:rsidR="0024743F">
        <w:rPr>
          <w:rFonts w:asciiTheme="majorHAnsi" w:hAnsiTheme="majorHAnsi" w:cstheme="majorHAnsi"/>
          <w:sz w:val="19"/>
          <w:szCs w:val="19"/>
          <w:lang w:val="en-US"/>
        </w:rPr>
        <w:t>s</w:t>
      </w:r>
      <w:r w:rsidR="00562120">
        <w:rPr>
          <w:rFonts w:asciiTheme="majorHAnsi" w:hAnsiTheme="majorHAnsi" w:cstheme="majorHAnsi"/>
          <w:sz w:val="19"/>
          <w:szCs w:val="19"/>
          <w:lang w:val="en-US"/>
        </w:rPr>
        <w:t xml:space="preserve"> not</w:t>
      </w:r>
      <w:r w:rsidR="0024743F">
        <w:rPr>
          <w:rFonts w:asciiTheme="majorHAnsi" w:hAnsiTheme="majorHAnsi" w:cstheme="majorHAnsi"/>
          <w:sz w:val="19"/>
          <w:szCs w:val="19"/>
          <w:lang w:val="en-US"/>
        </w:rPr>
        <w:t xml:space="preserve"> </w:t>
      </w:r>
      <w:r w:rsidR="00650AFE">
        <w:rPr>
          <w:rFonts w:asciiTheme="majorHAnsi" w:hAnsiTheme="majorHAnsi" w:cstheme="majorHAnsi"/>
          <w:sz w:val="19"/>
          <w:szCs w:val="19"/>
          <w:lang w:val="en-US"/>
        </w:rPr>
        <w:t>completed in</w:t>
      </w:r>
      <w:r w:rsidR="00562120">
        <w:rPr>
          <w:rFonts w:asciiTheme="majorHAnsi" w:hAnsiTheme="majorHAnsi" w:cstheme="majorHAnsi"/>
          <w:sz w:val="19"/>
          <w:szCs w:val="19"/>
          <w:lang w:val="en-US"/>
        </w:rPr>
        <w:t xml:space="preserve"> accord</w:t>
      </w:r>
      <w:r w:rsidR="00650AFE">
        <w:rPr>
          <w:rFonts w:asciiTheme="majorHAnsi" w:hAnsiTheme="majorHAnsi" w:cstheme="majorHAnsi"/>
          <w:sz w:val="19"/>
          <w:szCs w:val="19"/>
          <w:lang w:val="en-US"/>
        </w:rPr>
        <w:t>ance</w:t>
      </w:r>
      <w:r w:rsidR="00562120">
        <w:rPr>
          <w:rFonts w:asciiTheme="majorHAnsi" w:hAnsiTheme="majorHAnsi" w:cstheme="majorHAnsi"/>
          <w:sz w:val="19"/>
          <w:szCs w:val="19"/>
          <w:lang w:val="en-US"/>
        </w:rPr>
        <w:t xml:space="preserve"> with the </w:t>
      </w:r>
      <w:r w:rsidR="00650AFE">
        <w:rPr>
          <w:rFonts w:asciiTheme="majorHAnsi" w:hAnsiTheme="majorHAnsi" w:cstheme="majorHAnsi"/>
          <w:sz w:val="19"/>
          <w:szCs w:val="19"/>
          <w:lang w:val="en-US"/>
        </w:rPr>
        <w:t xml:space="preserve">milestones </w:t>
      </w:r>
      <w:r w:rsidR="00562120">
        <w:rPr>
          <w:rFonts w:asciiTheme="majorHAnsi" w:hAnsiTheme="majorHAnsi" w:cstheme="majorHAnsi"/>
          <w:sz w:val="19"/>
          <w:szCs w:val="19"/>
          <w:lang w:val="en-US"/>
        </w:rPr>
        <w:t>plan</w:t>
      </w:r>
      <w:r w:rsidR="00DD245A">
        <w:rPr>
          <w:rFonts w:asciiTheme="majorHAnsi" w:hAnsiTheme="majorHAnsi" w:cstheme="majorHAnsi"/>
          <w:sz w:val="19"/>
          <w:szCs w:val="19"/>
          <w:lang w:val="en-US"/>
        </w:rPr>
        <w:t>,</w:t>
      </w:r>
      <w:r w:rsidR="00562120">
        <w:rPr>
          <w:rFonts w:asciiTheme="majorHAnsi" w:hAnsiTheme="majorHAnsi" w:cstheme="majorHAnsi"/>
          <w:sz w:val="19"/>
          <w:szCs w:val="19"/>
          <w:lang w:val="en-US"/>
        </w:rPr>
        <w:t xml:space="preserve"> in the financial statements for the year ended 31 December 2018</w:t>
      </w:r>
      <w:r w:rsidR="0024743F">
        <w:rPr>
          <w:rFonts w:asciiTheme="majorHAnsi" w:hAnsiTheme="majorHAnsi" w:cstheme="majorHAnsi"/>
          <w:sz w:val="19"/>
          <w:szCs w:val="19"/>
          <w:lang w:val="en-US"/>
        </w:rPr>
        <w:t xml:space="preserve"> since</w:t>
      </w:r>
      <w:r w:rsidR="000753BE">
        <w:rPr>
          <w:rFonts w:asciiTheme="majorHAnsi" w:hAnsiTheme="majorHAnsi" w:cstheme="majorHAnsi"/>
          <w:sz w:val="19"/>
          <w:szCs w:val="19"/>
          <w:lang w:val="en-US"/>
        </w:rPr>
        <w:t xml:space="preserve"> the </w:t>
      </w:r>
      <w:r w:rsidR="00035C31">
        <w:rPr>
          <w:rFonts w:asciiTheme="majorHAnsi" w:hAnsiTheme="majorHAnsi" w:cs="Browallia New"/>
          <w:sz w:val="19"/>
          <w:szCs w:val="24"/>
          <w:lang w:val="en-US" w:bidi="th-TH"/>
        </w:rPr>
        <w:t>reliable estimate of the amount cannot be made</w:t>
      </w:r>
      <w:r w:rsidR="000753BE">
        <w:rPr>
          <w:rFonts w:asciiTheme="majorHAnsi" w:hAnsiTheme="majorHAnsi" w:cstheme="majorHAnsi"/>
          <w:sz w:val="19"/>
          <w:szCs w:val="19"/>
          <w:lang w:val="en-US"/>
        </w:rPr>
        <w:t>.</w:t>
      </w:r>
      <w:r w:rsidR="00562120">
        <w:rPr>
          <w:rFonts w:asciiTheme="majorHAnsi" w:hAnsiTheme="majorHAnsi" w:cstheme="majorHAnsi"/>
          <w:sz w:val="19"/>
          <w:szCs w:val="19"/>
          <w:lang w:val="en-US"/>
        </w:rPr>
        <w:t xml:space="preserve"> </w:t>
      </w:r>
      <w:r w:rsidR="003D738E">
        <w:rPr>
          <w:rFonts w:asciiTheme="majorHAnsi" w:hAnsiTheme="majorHAnsi" w:cstheme="majorHAnsi"/>
          <w:sz w:val="19"/>
          <w:szCs w:val="19"/>
          <w:lang w:val="en-US"/>
        </w:rPr>
        <w:t>I am unable to assess the potential impact (if any) to the consolidated and separate financial position and consolidated and separate results of operation</w:t>
      </w:r>
      <w:r w:rsidR="00650AFE">
        <w:rPr>
          <w:rFonts w:asciiTheme="majorHAnsi" w:hAnsiTheme="majorHAnsi" w:cstheme="majorHAnsi"/>
          <w:sz w:val="19"/>
          <w:szCs w:val="19"/>
          <w:lang w:val="en-US"/>
        </w:rPr>
        <w:t>s</w:t>
      </w:r>
      <w:r w:rsidR="003D738E">
        <w:rPr>
          <w:rFonts w:asciiTheme="majorHAnsi" w:hAnsiTheme="majorHAnsi" w:cstheme="majorHAnsi"/>
          <w:sz w:val="19"/>
          <w:szCs w:val="19"/>
          <w:lang w:val="en-US"/>
        </w:rPr>
        <w:t xml:space="preserve"> for the current year from such matter which</w:t>
      </w:r>
      <w:r w:rsidR="00650AFE">
        <w:rPr>
          <w:rFonts w:asciiTheme="majorHAnsi" w:hAnsiTheme="majorHAnsi" w:cstheme="majorHAnsi"/>
          <w:sz w:val="19"/>
          <w:szCs w:val="19"/>
          <w:lang w:val="en-US"/>
        </w:rPr>
        <w:t xml:space="preserve"> outcome</w:t>
      </w:r>
      <w:r w:rsidR="003D738E">
        <w:rPr>
          <w:rFonts w:asciiTheme="majorHAnsi" w:hAnsiTheme="majorHAnsi" w:cstheme="majorHAnsi"/>
          <w:sz w:val="19"/>
          <w:szCs w:val="19"/>
          <w:lang w:val="en-US"/>
        </w:rPr>
        <w:t xml:space="preserve"> cannot </w:t>
      </w:r>
      <w:r w:rsidR="00650AFE">
        <w:rPr>
          <w:rFonts w:asciiTheme="majorHAnsi" w:hAnsiTheme="majorHAnsi" w:cstheme="majorHAnsi"/>
          <w:sz w:val="19"/>
          <w:szCs w:val="19"/>
          <w:lang w:val="en-US"/>
        </w:rPr>
        <w:t xml:space="preserve">presently </w:t>
      </w:r>
      <w:r w:rsidR="003D738E">
        <w:rPr>
          <w:rFonts w:asciiTheme="majorHAnsi" w:hAnsiTheme="majorHAnsi" w:cstheme="majorHAnsi"/>
          <w:sz w:val="19"/>
          <w:szCs w:val="19"/>
          <w:lang w:val="en-US"/>
        </w:rPr>
        <w:t>be concluded</w:t>
      </w:r>
      <w:r w:rsidR="00650AFE">
        <w:rPr>
          <w:rFonts w:asciiTheme="majorHAnsi" w:hAnsiTheme="majorHAnsi" w:cstheme="majorHAnsi"/>
          <w:sz w:val="19"/>
          <w:szCs w:val="19"/>
          <w:lang w:val="en-US"/>
        </w:rPr>
        <w:t>.</w:t>
      </w:r>
      <w:r w:rsidR="003D738E">
        <w:rPr>
          <w:rFonts w:asciiTheme="majorHAnsi" w:hAnsiTheme="majorHAnsi" w:cstheme="majorHAnsi"/>
          <w:sz w:val="19"/>
          <w:szCs w:val="19"/>
          <w:lang w:val="en-US"/>
        </w:rPr>
        <w:t xml:space="preserve"> </w:t>
      </w:r>
    </w:p>
    <w:p w14:paraId="3B9C9AD7" w14:textId="77777777" w:rsidR="00881170" w:rsidRDefault="00881170" w:rsidP="00881170">
      <w:pPr>
        <w:pStyle w:val="ListParagraph"/>
        <w:spacing w:after="0" w:line="360" w:lineRule="auto"/>
        <w:ind w:left="450"/>
        <w:contextualSpacing w:val="0"/>
        <w:jc w:val="thaiDistribute"/>
        <w:rPr>
          <w:rFonts w:asciiTheme="majorHAnsi" w:hAnsiTheme="majorHAnsi" w:cstheme="majorHAnsi"/>
          <w:sz w:val="19"/>
          <w:szCs w:val="19"/>
          <w:lang w:val="en-US"/>
        </w:rPr>
      </w:pPr>
    </w:p>
    <w:p w14:paraId="05B43283" w14:textId="768E9EEB" w:rsidR="00685A5F" w:rsidRPr="0032246D" w:rsidRDefault="00EF1EAF" w:rsidP="00EF1EAF">
      <w:pPr>
        <w:spacing w:after="0"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I conducted my audit in accordance with Thai Standards on Auditing. My responsibilities under those standards are further described in the Auditor’s Responsibilities for the Audit of the Financial Statements section of my report. I am independent of the Group in accordance with the Federation of Accounting Professions’ Code of Ethics for Professional Accountants that is relevant to my audit of the financial statements, and I have fulfilled my other ethical responsibilities in accordance with these requirements. I believe that the audit evidence I have obtained is sufficient and appropriate to provide a basis for my qualified opinion.</w:t>
      </w:r>
    </w:p>
    <w:p w14:paraId="3F033540" w14:textId="31D385FE" w:rsidR="008E6DAC" w:rsidRDefault="008E6DAC" w:rsidP="009D0C80">
      <w:pPr>
        <w:spacing w:after="0" w:line="360" w:lineRule="auto"/>
        <w:jc w:val="thaiDistribute"/>
        <w:rPr>
          <w:rFonts w:asciiTheme="majorHAnsi" w:hAnsiTheme="majorHAnsi" w:cstheme="majorHAnsi"/>
          <w:sz w:val="19"/>
          <w:szCs w:val="19"/>
          <w:lang w:val="en-US"/>
        </w:rPr>
      </w:pPr>
    </w:p>
    <w:p w14:paraId="1AC830DA" w14:textId="0D06CAEE" w:rsidR="00F0514C" w:rsidRDefault="00F0514C" w:rsidP="009D0C80">
      <w:pPr>
        <w:spacing w:after="0" w:line="360" w:lineRule="auto"/>
        <w:jc w:val="thaiDistribute"/>
        <w:rPr>
          <w:rFonts w:asciiTheme="majorHAnsi" w:hAnsiTheme="majorHAnsi" w:cstheme="majorHAnsi"/>
          <w:sz w:val="19"/>
          <w:szCs w:val="19"/>
          <w:lang w:val="en-US"/>
        </w:rPr>
      </w:pPr>
    </w:p>
    <w:p w14:paraId="58A3B49F" w14:textId="1B551F64" w:rsidR="00F0514C" w:rsidRDefault="00F0514C" w:rsidP="009D0C80">
      <w:pPr>
        <w:spacing w:after="0" w:line="360" w:lineRule="auto"/>
        <w:jc w:val="thaiDistribute"/>
        <w:rPr>
          <w:rFonts w:asciiTheme="majorHAnsi" w:hAnsiTheme="majorHAnsi" w:cstheme="majorHAnsi"/>
          <w:sz w:val="19"/>
          <w:szCs w:val="19"/>
          <w:lang w:val="en-US"/>
        </w:rPr>
      </w:pPr>
    </w:p>
    <w:p w14:paraId="2BA1FAD3" w14:textId="00202CAD" w:rsidR="00F0514C" w:rsidRDefault="00F0514C" w:rsidP="009D0C80">
      <w:pPr>
        <w:spacing w:after="0" w:line="360" w:lineRule="auto"/>
        <w:jc w:val="thaiDistribute"/>
        <w:rPr>
          <w:rFonts w:asciiTheme="majorHAnsi" w:hAnsiTheme="majorHAnsi" w:cstheme="majorHAnsi"/>
          <w:sz w:val="19"/>
          <w:szCs w:val="19"/>
          <w:lang w:val="en-US"/>
        </w:rPr>
      </w:pPr>
    </w:p>
    <w:p w14:paraId="6D5E88EA" w14:textId="77777777" w:rsidR="00F0514C" w:rsidRPr="009D0C80" w:rsidRDefault="00F0514C" w:rsidP="009D0C80">
      <w:pPr>
        <w:spacing w:after="0" w:line="360" w:lineRule="auto"/>
        <w:jc w:val="thaiDistribute"/>
        <w:rPr>
          <w:rFonts w:asciiTheme="majorHAnsi" w:hAnsiTheme="majorHAnsi" w:cstheme="majorHAnsi"/>
          <w:sz w:val="19"/>
          <w:szCs w:val="19"/>
          <w:lang w:val="en-US"/>
        </w:rPr>
      </w:pPr>
    </w:p>
    <w:p w14:paraId="7BE1AE86" w14:textId="4AD3BFAE" w:rsidR="00EF1EAF" w:rsidRPr="0032246D" w:rsidRDefault="00B67D9B" w:rsidP="00EF1EAF">
      <w:pPr>
        <w:autoSpaceDE w:val="0"/>
        <w:autoSpaceDN w:val="0"/>
        <w:adjustRightInd w:val="0"/>
        <w:spacing w:line="360" w:lineRule="auto"/>
        <w:rPr>
          <w:rFonts w:asciiTheme="majorHAnsi" w:hAnsiTheme="majorHAnsi" w:cstheme="majorHAnsi"/>
          <w:i/>
          <w:iCs/>
          <w:sz w:val="19"/>
          <w:szCs w:val="19"/>
          <w:lang w:val="en-US"/>
        </w:rPr>
      </w:pPr>
      <w:r>
        <w:rPr>
          <w:rFonts w:asciiTheme="majorHAnsi" w:hAnsiTheme="majorHAnsi" w:cstheme="majorHAnsi"/>
          <w:i/>
          <w:iCs/>
          <w:sz w:val="19"/>
          <w:szCs w:val="19"/>
          <w:lang w:val="en-US"/>
        </w:rPr>
        <w:lastRenderedPageBreak/>
        <w:t>E</w:t>
      </w:r>
      <w:r w:rsidR="00EF1EAF" w:rsidRPr="0032246D">
        <w:rPr>
          <w:rFonts w:asciiTheme="majorHAnsi" w:hAnsiTheme="majorHAnsi" w:cstheme="majorHAnsi"/>
          <w:i/>
          <w:iCs/>
          <w:sz w:val="19"/>
          <w:szCs w:val="19"/>
          <w:lang w:val="en-US"/>
        </w:rPr>
        <w:t>mphasis of matters</w:t>
      </w:r>
    </w:p>
    <w:p w14:paraId="081EAE25" w14:textId="77777777" w:rsidR="00B67D9B" w:rsidRDefault="00B67D9B" w:rsidP="00881170">
      <w:pPr>
        <w:pStyle w:val="ListParagraph"/>
        <w:spacing w:after="0" w:line="360" w:lineRule="auto"/>
        <w:ind w:left="450"/>
        <w:contextualSpacing w:val="0"/>
        <w:jc w:val="thaiDistribute"/>
        <w:rPr>
          <w:rFonts w:asciiTheme="majorHAnsi" w:hAnsiTheme="majorHAnsi" w:cstheme="majorHAnsi"/>
          <w:sz w:val="19"/>
          <w:szCs w:val="19"/>
          <w:lang w:val="en-US"/>
        </w:rPr>
      </w:pPr>
    </w:p>
    <w:p w14:paraId="11686226" w14:textId="334C106B" w:rsidR="00EF1EAF" w:rsidRPr="0032246D" w:rsidRDefault="00EF1EAF" w:rsidP="00EF1EAF">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draw attention to the following information which does not change my qualified opinion above: </w:t>
      </w:r>
    </w:p>
    <w:p w14:paraId="6C89F3F7" w14:textId="77777777" w:rsidR="00EF1EAF" w:rsidRPr="0032246D" w:rsidRDefault="00EF1EAF" w:rsidP="00881170">
      <w:pPr>
        <w:pStyle w:val="ListParagraph"/>
        <w:spacing w:after="0" w:line="360" w:lineRule="auto"/>
        <w:ind w:left="450"/>
        <w:contextualSpacing w:val="0"/>
        <w:jc w:val="thaiDistribute"/>
        <w:rPr>
          <w:rFonts w:asciiTheme="majorHAnsi" w:hAnsiTheme="majorHAnsi" w:cstheme="majorHAnsi"/>
          <w:b/>
          <w:bCs/>
          <w:sz w:val="19"/>
          <w:szCs w:val="19"/>
          <w:lang w:val="en-US"/>
        </w:rPr>
      </w:pPr>
    </w:p>
    <w:p w14:paraId="0361325C" w14:textId="5EEA1A7B" w:rsidR="00EF1EAF" w:rsidRPr="000C405C" w:rsidRDefault="00EF1EAF" w:rsidP="00EF1EAF">
      <w:pPr>
        <w:pStyle w:val="BodyText"/>
        <w:numPr>
          <w:ilvl w:val="0"/>
          <w:numId w:val="46"/>
        </w:numPr>
        <w:tabs>
          <w:tab w:val="left" w:pos="360"/>
        </w:tabs>
        <w:overflowPunct w:val="0"/>
        <w:autoSpaceDE w:val="0"/>
        <w:autoSpaceDN w:val="0"/>
        <w:adjustRightInd w:val="0"/>
        <w:spacing w:after="0" w:line="360" w:lineRule="auto"/>
        <w:ind w:left="360" w:right="-43"/>
        <w:jc w:val="thaiDistribute"/>
        <w:textAlignment w:val="baseline"/>
        <w:rPr>
          <w:rFonts w:asciiTheme="majorHAnsi" w:hAnsiTheme="majorHAnsi" w:cstheme="majorHAnsi"/>
          <w:sz w:val="19"/>
          <w:szCs w:val="19"/>
        </w:rPr>
      </w:pPr>
      <w:r w:rsidRPr="000C405C">
        <w:rPr>
          <w:rFonts w:asciiTheme="majorHAnsi" w:hAnsiTheme="majorHAnsi" w:cstheme="majorHAnsi"/>
          <w:sz w:val="19"/>
          <w:szCs w:val="19"/>
        </w:rPr>
        <w:t>As discussed in Note 1</w:t>
      </w:r>
      <w:r w:rsidR="000C405C">
        <w:rPr>
          <w:rFonts w:asciiTheme="majorHAnsi" w:hAnsiTheme="majorHAnsi" w:cs="Browallia New"/>
          <w:sz w:val="19"/>
          <w:szCs w:val="24"/>
          <w:lang w:val="en-US" w:bidi="th-TH"/>
        </w:rPr>
        <w:t>7</w:t>
      </w:r>
      <w:r w:rsidRPr="000C405C">
        <w:rPr>
          <w:rFonts w:asciiTheme="majorHAnsi" w:hAnsiTheme="majorHAnsi" w:cstheme="majorHAnsi"/>
          <w:sz w:val="19"/>
          <w:szCs w:val="19"/>
        </w:rPr>
        <w:t xml:space="preserve"> to the financial statements, the Company has land lease concessions in the </w:t>
      </w:r>
      <w:proofErr w:type="spellStart"/>
      <w:r w:rsidRPr="000C405C">
        <w:rPr>
          <w:rFonts w:asciiTheme="majorHAnsi" w:hAnsiTheme="majorHAnsi" w:cstheme="majorHAnsi"/>
          <w:sz w:val="19"/>
          <w:szCs w:val="19"/>
        </w:rPr>
        <w:t>Dawei</w:t>
      </w:r>
      <w:proofErr w:type="spellEnd"/>
      <w:r w:rsidRPr="000C405C">
        <w:rPr>
          <w:rFonts w:asciiTheme="majorHAnsi" w:hAnsiTheme="majorHAnsi" w:cstheme="majorHAnsi"/>
          <w:sz w:val="19"/>
          <w:szCs w:val="19"/>
        </w:rPr>
        <w:t xml:space="preserve"> Special Economic Zone that it has incurred projects development costs </w:t>
      </w:r>
      <w:proofErr w:type="spellStart"/>
      <w:r w:rsidRPr="000C405C">
        <w:rPr>
          <w:rFonts w:asciiTheme="majorHAnsi" w:hAnsiTheme="majorHAnsi" w:cstheme="majorHAnsi"/>
          <w:sz w:val="19"/>
          <w:szCs w:val="19"/>
        </w:rPr>
        <w:t>totaling</w:t>
      </w:r>
      <w:proofErr w:type="spellEnd"/>
      <w:r w:rsidRPr="000C405C">
        <w:rPr>
          <w:rFonts w:asciiTheme="majorHAnsi" w:hAnsiTheme="majorHAnsi" w:cstheme="majorHAnsi"/>
          <w:sz w:val="19"/>
          <w:szCs w:val="19"/>
        </w:rPr>
        <w:t xml:space="preserve"> Baht 7,</w:t>
      </w:r>
      <w:r w:rsidR="00F2029E" w:rsidRPr="000C405C">
        <w:rPr>
          <w:rFonts w:asciiTheme="majorHAnsi" w:hAnsiTheme="majorHAnsi" w:cstheme="majorHAnsi"/>
          <w:sz w:val="19"/>
          <w:szCs w:val="19"/>
        </w:rPr>
        <w:t>73</w:t>
      </w:r>
      <w:r w:rsidR="000C405C">
        <w:rPr>
          <w:rFonts w:asciiTheme="majorHAnsi" w:hAnsiTheme="majorHAnsi" w:cstheme="majorHAnsi"/>
          <w:sz w:val="19"/>
          <w:szCs w:val="19"/>
        </w:rPr>
        <w:t>8</w:t>
      </w:r>
      <w:r w:rsidR="00F2029E" w:rsidRPr="000C405C">
        <w:rPr>
          <w:rFonts w:asciiTheme="majorHAnsi" w:hAnsiTheme="majorHAnsi" w:cstheme="majorHAnsi"/>
          <w:sz w:val="19"/>
          <w:szCs w:val="19"/>
        </w:rPr>
        <w:t>.4</w:t>
      </w:r>
      <w:r w:rsidR="000C405C">
        <w:rPr>
          <w:rFonts w:asciiTheme="majorHAnsi" w:hAnsiTheme="majorHAnsi" w:cstheme="majorHAnsi"/>
          <w:sz w:val="19"/>
          <w:szCs w:val="19"/>
        </w:rPr>
        <w:t>2</w:t>
      </w:r>
      <w:r w:rsidRPr="000C405C">
        <w:rPr>
          <w:rFonts w:asciiTheme="majorHAnsi" w:hAnsiTheme="majorHAnsi" w:cstheme="majorHAnsi"/>
          <w:sz w:val="19"/>
          <w:szCs w:val="19"/>
        </w:rPr>
        <w:t xml:space="preserve"> million. This project depends on the cooperation of the governments of Thailand and the Republic of the Union of Myanmar</w:t>
      </w:r>
      <w:r w:rsidR="00B67D9B">
        <w:rPr>
          <w:rFonts w:asciiTheme="majorHAnsi" w:hAnsiTheme="majorHAnsi" w:cstheme="majorHAnsi"/>
          <w:sz w:val="19"/>
          <w:szCs w:val="19"/>
        </w:rPr>
        <w:t xml:space="preserve"> who </w:t>
      </w:r>
      <w:r w:rsidR="00B67D9B">
        <w:rPr>
          <w:rFonts w:asciiTheme="majorHAnsi" w:hAnsiTheme="majorHAnsi" w:cs="Browallia New"/>
          <w:sz w:val="19"/>
          <w:szCs w:val="24"/>
          <w:lang w:val="en-US" w:bidi="th-TH"/>
        </w:rPr>
        <w:t>de</w:t>
      </w:r>
      <w:r w:rsidR="004772B0">
        <w:rPr>
          <w:rFonts w:asciiTheme="majorHAnsi" w:hAnsiTheme="majorHAnsi" w:cs="Browallia New"/>
          <w:sz w:val="19"/>
          <w:szCs w:val="24"/>
          <w:lang w:val="en-US" w:bidi="th-TH"/>
        </w:rPr>
        <w:t xml:space="preserve">fined </w:t>
      </w:r>
      <w:r w:rsidR="00B67D9B">
        <w:rPr>
          <w:rFonts w:asciiTheme="majorHAnsi" w:hAnsiTheme="majorHAnsi" w:cs="Browallia New"/>
          <w:sz w:val="19"/>
          <w:szCs w:val="24"/>
          <w:lang w:val="en-US" w:bidi="th-TH"/>
        </w:rPr>
        <w:t>the</w:t>
      </w:r>
      <w:r w:rsidR="004772B0">
        <w:rPr>
          <w:rFonts w:asciiTheme="majorHAnsi" w:hAnsiTheme="majorHAnsi" w:cs="Browallia New"/>
          <w:sz w:val="19"/>
          <w:szCs w:val="24"/>
          <w:lang w:val="en-US" w:bidi="th-TH"/>
        </w:rPr>
        <w:t xml:space="preserve"> project development</w:t>
      </w:r>
      <w:r w:rsidR="00B67D9B">
        <w:rPr>
          <w:rFonts w:asciiTheme="majorHAnsi" w:hAnsiTheme="majorHAnsi" w:cs="Browallia New"/>
          <w:sz w:val="19"/>
          <w:szCs w:val="24"/>
          <w:lang w:val="en-US" w:bidi="th-TH"/>
        </w:rPr>
        <w:t xml:space="preserve"> </w:t>
      </w:r>
      <w:r w:rsidR="00B67D9B">
        <w:rPr>
          <w:rFonts w:asciiTheme="majorHAnsi" w:hAnsiTheme="majorHAnsi" w:cstheme="majorHAnsi"/>
          <w:sz w:val="19"/>
          <w:szCs w:val="19"/>
        </w:rPr>
        <w:t>policy</w:t>
      </w:r>
      <w:r w:rsidRPr="000C405C">
        <w:rPr>
          <w:rFonts w:asciiTheme="majorHAnsi" w:hAnsiTheme="majorHAnsi" w:cstheme="majorHAnsi"/>
          <w:sz w:val="19"/>
          <w:szCs w:val="19"/>
        </w:rPr>
        <w:t>. The Company has the right to reimburse such amount from new partners of each project or else obtain additional right over the procession of land.</w:t>
      </w:r>
    </w:p>
    <w:p w14:paraId="42D5AEFD" w14:textId="1E9C6F81" w:rsidR="00EF1EAF" w:rsidRPr="00881170" w:rsidRDefault="00EF1EAF" w:rsidP="00881170">
      <w:pPr>
        <w:pStyle w:val="ListParagraph"/>
        <w:spacing w:after="0" w:line="360" w:lineRule="auto"/>
        <w:ind w:left="450"/>
        <w:contextualSpacing w:val="0"/>
        <w:jc w:val="thaiDistribute"/>
        <w:rPr>
          <w:rFonts w:asciiTheme="majorHAnsi" w:hAnsiTheme="majorHAnsi" w:cstheme="majorHAnsi"/>
          <w:b/>
          <w:bCs/>
          <w:sz w:val="19"/>
          <w:szCs w:val="19"/>
          <w:lang w:val="en-US"/>
        </w:rPr>
      </w:pPr>
    </w:p>
    <w:p w14:paraId="1AA70943" w14:textId="0A2FFB93" w:rsidR="00EF1EAF" w:rsidRDefault="00EF1EAF" w:rsidP="00EF1EAF">
      <w:pPr>
        <w:pStyle w:val="BodyText"/>
        <w:numPr>
          <w:ilvl w:val="0"/>
          <w:numId w:val="46"/>
        </w:numPr>
        <w:tabs>
          <w:tab w:val="left" w:pos="360"/>
        </w:tabs>
        <w:overflowPunct w:val="0"/>
        <w:autoSpaceDE w:val="0"/>
        <w:autoSpaceDN w:val="0"/>
        <w:adjustRightInd w:val="0"/>
        <w:spacing w:after="0" w:line="360" w:lineRule="auto"/>
        <w:ind w:left="360" w:right="-43"/>
        <w:jc w:val="thaiDistribute"/>
        <w:textAlignment w:val="baseline"/>
        <w:rPr>
          <w:rFonts w:asciiTheme="majorHAnsi" w:hAnsiTheme="majorHAnsi" w:cstheme="majorHAnsi"/>
          <w:sz w:val="19"/>
          <w:szCs w:val="19"/>
        </w:rPr>
      </w:pPr>
      <w:r w:rsidRPr="0032246D">
        <w:rPr>
          <w:rFonts w:asciiTheme="majorHAnsi" w:hAnsiTheme="majorHAnsi" w:cstheme="majorHAnsi"/>
          <w:sz w:val="19"/>
          <w:szCs w:val="19"/>
        </w:rPr>
        <w:t xml:space="preserve">As discussed in Note </w:t>
      </w:r>
      <w:r w:rsidR="00B67D9B">
        <w:rPr>
          <w:rFonts w:asciiTheme="majorHAnsi" w:hAnsiTheme="majorHAnsi" w:cstheme="majorHAnsi"/>
          <w:sz w:val="19"/>
          <w:szCs w:val="19"/>
        </w:rPr>
        <w:t>18</w:t>
      </w:r>
      <w:r w:rsidRPr="0032246D">
        <w:rPr>
          <w:rFonts w:asciiTheme="majorHAnsi" w:hAnsiTheme="majorHAnsi" w:cstheme="majorHAnsi"/>
          <w:sz w:val="19"/>
          <w:szCs w:val="19"/>
        </w:rPr>
        <w:t xml:space="preserve"> to the financial statements, a subsidiary company has acquired potash mining rights for a value of Baht 2,293.49 million for which the application for potash mining concessions is</w:t>
      </w:r>
      <w:r w:rsidR="00137479">
        <w:rPr>
          <w:rFonts w:asciiTheme="majorHAnsi" w:hAnsiTheme="majorHAnsi" w:cstheme="majorHAnsi"/>
          <w:sz w:val="19"/>
          <w:szCs w:val="19"/>
        </w:rPr>
        <w:t xml:space="preserve"> still</w:t>
      </w:r>
      <w:r w:rsidRPr="0032246D">
        <w:rPr>
          <w:rFonts w:asciiTheme="majorHAnsi" w:hAnsiTheme="majorHAnsi" w:cstheme="majorHAnsi"/>
          <w:sz w:val="19"/>
          <w:szCs w:val="19"/>
        </w:rPr>
        <w:t xml:space="preserve"> in process. The Company’s management believes that this project will be approved by the government and will become operational in the near future as the process for concessionaire application has been completed. </w:t>
      </w:r>
    </w:p>
    <w:p w14:paraId="199DDD29" w14:textId="495CD4E0" w:rsidR="0024743F" w:rsidRDefault="0024743F" w:rsidP="005C5DFF">
      <w:pPr>
        <w:pStyle w:val="BodyText"/>
        <w:tabs>
          <w:tab w:val="left" w:pos="360"/>
        </w:tabs>
        <w:overflowPunct w:val="0"/>
        <w:autoSpaceDE w:val="0"/>
        <w:autoSpaceDN w:val="0"/>
        <w:adjustRightInd w:val="0"/>
        <w:spacing w:after="0" w:line="360" w:lineRule="auto"/>
        <w:ind w:left="360" w:right="-43"/>
        <w:jc w:val="thaiDistribute"/>
        <w:textAlignment w:val="baseline"/>
        <w:rPr>
          <w:rFonts w:asciiTheme="majorHAnsi" w:hAnsiTheme="majorHAnsi" w:cstheme="majorHAnsi"/>
          <w:sz w:val="19"/>
          <w:szCs w:val="19"/>
        </w:rPr>
      </w:pPr>
    </w:p>
    <w:p w14:paraId="2716BAFE" w14:textId="641650F8" w:rsidR="005C5DFF" w:rsidRPr="005C5DFF" w:rsidRDefault="005C5DFF" w:rsidP="00EF1EAF">
      <w:pPr>
        <w:pStyle w:val="BodyText"/>
        <w:numPr>
          <w:ilvl w:val="0"/>
          <w:numId w:val="46"/>
        </w:numPr>
        <w:tabs>
          <w:tab w:val="left" w:pos="360"/>
        </w:tabs>
        <w:overflowPunct w:val="0"/>
        <w:autoSpaceDE w:val="0"/>
        <w:autoSpaceDN w:val="0"/>
        <w:adjustRightInd w:val="0"/>
        <w:spacing w:after="0" w:line="360" w:lineRule="auto"/>
        <w:ind w:left="360" w:right="-43"/>
        <w:jc w:val="thaiDistribute"/>
        <w:textAlignment w:val="baseline"/>
        <w:rPr>
          <w:rFonts w:asciiTheme="majorHAnsi" w:hAnsiTheme="majorHAnsi" w:cstheme="majorHAnsi"/>
          <w:sz w:val="19"/>
          <w:szCs w:val="19"/>
        </w:rPr>
      </w:pPr>
      <w:r>
        <w:rPr>
          <w:rFonts w:asciiTheme="majorHAnsi" w:hAnsiTheme="majorHAnsi" w:cstheme="majorHAnsi"/>
          <w:sz w:val="19"/>
          <w:szCs w:val="19"/>
        </w:rPr>
        <w:t xml:space="preserve">As discussed in Note 37 to the financial statements, during the </w:t>
      </w:r>
      <w:r>
        <w:rPr>
          <w:rFonts w:asciiTheme="majorHAnsi" w:hAnsiTheme="majorHAnsi" w:cs="Browallia New"/>
          <w:sz w:val="19"/>
          <w:szCs w:val="24"/>
          <w:lang w:val="en-US" w:bidi="th-TH"/>
        </w:rPr>
        <w:t>4</w:t>
      </w:r>
      <w:r w:rsidRPr="005C5DFF">
        <w:rPr>
          <w:rFonts w:asciiTheme="majorHAnsi" w:hAnsiTheme="majorHAnsi" w:cs="Browallia New"/>
          <w:sz w:val="19"/>
          <w:szCs w:val="24"/>
          <w:vertAlign w:val="superscript"/>
          <w:lang w:val="en-US" w:bidi="th-TH"/>
        </w:rPr>
        <w:t>th</w:t>
      </w:r>
      <w:r>
        <w:rPr>
          <w:rFonts w:asciiTheme="majorHAnsi" w:hAnsiTheme="majorHAnsi" w:cs="Browallia New"/>
          <w:sz w:val="19"/>
          <w:szCs w:val="24"/>
          <w:lang w:val="en-US" w:bidi="th-TH"/>
        </w:rPr>
        <w:t xml:space="preserve"> quarter of the year 2018, the Company entered into management service agreement</w:t>
      </w:r>
      <w:r w:rsidR="00137479">
        <w:rPr>
          <w:rFonts w:asciiTheme="majorHAnsi" w:hAnsiTheme="majorHAnsi" w:cs="Browallia New"/>
          <w:sz w:val="19"/>
          <w:szCs w:val="24"/>
          <w:lang w:val="en-US" w:bidi="th-TH"/>
        </w:rPr>
        <w:t>s</w:t>
      </w:r>
      <w:r>
        <w:rPr>
          <w:rFonts w:asciiTheme="majorHAnsi" w:hAnsiTheme="majorHAnsi" w:cs="Browallia New"/>
          <w:sz w:val="19"/>
          <w:szCs w:val="24"/>
          <w:lang w:val="en-US" w:bidi="th-TH"/>
        </w:rPr>
        <w:t xml:space="preserve"> with a subsidiary</w:t>
      </w:r>
      <w:r w:rsidR="00137479">
        <w:rPr>
          <w:rFonts w:asciiTheme="majorHAnsi" w:hAnsiTheme="majorHAnsi" w:cs="Browallia New"/>
          <w:sz w:val="19"/>
          <w:szCs w:val="24"/>
          <w:lang w:val="en-US" w:bidi="th-TH"/>
        </w:rPr>
        <w:t xml:space="preserve"> and charged</w:t>
      </w:r>
      <w:r w:rsidR="0018580D">
        <w:rPr>
          <w:rFonts w:asciiTheme="majorHAnsi" w:hAnsiTheme="majorHAnsi" w:cs="Browallia New"/>
          <w:sz w:val="19"/>
          <w:szCs w:val="24"/>
          <w:lang w:val="en-US" w:bidi="th-TH"/>
        </w:rPr>
        <w:t xml:space="preserve"> for total fees</w:t>
      </w:r>
      <w:r>
        <w:rPr>
          <w:rFonts w:asciiTheme="majorHAnsi" w:hAnsiTheme="majorHAnsi" w:cs="Browallia New"/>
          <w:sz w:val="19"/>
          <w:szCs w:val="24"/>
          <w:lang w:val="en-US" w:bidi="th-TH"/>
        </w:rPr>
        <w:t xml:space="preserve"> of Baht 130 million in addition </w:t>
      </w:r>
      <w:r w:rsidR="0018580D">
        <w:rPr>
          <w:rFonts w:asciiTheme="majorHAnsi" w:hAnsiTheme="majorHAnsi" w:cs="Browallia New"/>
          <w:sz w:val="19"/>
          <w:szCs w:val="24"/>
          <w:lang w:val="en-US" w:bidi="th-TH"/>
        </w:rPr>
        <w:t>to</w:t>
      </w:r>
      <w:r>
        <w:rPr>
          <w:rFonts w:asciiTheme="majorHAnsi" w:hAnsiTheme="majorHAnsi" w:cs="Browallia New"/>
          <w:sz w:val="19"/>
          <w:szCs w:val="24"/>
          <w:lang w:val="en-US" w:bidi="th-TH"/>
        </w:rPr>
        <w:t xml:space="preserve"> the normal service charge</w:t>
      </w:r>
      <w:r w:rsidR="0018580D">
        <w:rPr>
          <w:rFonts w:asciiTheme="majorHAnsi" w:hAnsiTheme="majorHAnsi" w:cs="Browallia New"/>
          <w:sz w:val="19"/>
          <w:szCs w:val="24"/>
          <w:lang w:val="en-US" w:bidi="th-TH"/>
        </w:rPr>
        <w:t>s</w:t>
      </w:r>
      <w:r>
        <w:rPr>
          <w:rFonts w:asciiTheme="majorHAnsi" w:hAnsiTheme="majorHAnsi" w:cs="Browallia New"/>
          <w:sz w:val="19"/>
          <w:szCs w:val="24"/>
          <w:lang w:val="en-US" w:bidi="th-TH"/>
        </w:rPr>
        <w:t xml:space="preserve"> of Baht 42</w:t>
      </w:r>
      <w:r w:rsidR="003650F3">
        <w:rPr>
          <w:rFonts w:asciiTheme="majorHAnsi" w:hAnsiTheme="majorHAnsi" w:cs="Browallia New"/>
          <w:sz w:val="19"/>
          <w:szCs w:val="24"/>
          <w:lang w:val="en-US" w:bidi="th-TH"/>
        </w:rPr>
        <w:t>1</w:t>
      </w:r>
      <w:r>
        <w:rPr>
          <w:rFonts w:asciiTheme="majorHAnsi" w:hAnsiTheme="majorHAnsi" w:cs="Browallia New"/>
          <w:sz w:val="19"/>
          <w:szCs w:val="24"/>
          <w:lang w:val="en-US" w:bidi="th-TH"/>
        </w:rPr>
        <w:t>.</w:t>
      </w:r>
      <w:r w:rsidR="003650F3">
        <w:rPr>
          <w:rFonts w:asciiTheme="majorHAnsi" w:hAnsiTheme="majorHAnsi" w:cs="Browallia New"/>
          <w:sz w:val="19"/>
          <w:szCs w:val="24"/>
          <w:lang w:val="en-US" w:bidi="th-TH"/>
        </w:rPr>
        <w:t>2</w:t>
      </w:r>
      <w:r>
        <w:rPr>
          <w:rFonts w:asciiTheme="majorHAnsi" w:hAnsiTheme="majorHAnsi" w:cs="Browallia New"/>
          <w:sz w:val="19"/>
          <w:szCs w:val="24"/>
          <w:lang w:val="en-US" w:bidi="th-TH"/>
        </w:rPr>
        <w:t xml:space="preserve">0 million.  </w:t>
      </w:r>
    </w:p>
    <w:p w14:paraId="4A9D417A" w14:textId="77777777" w:rsidR="005C5DFF" w:rsidRDefault="005C5DFF" w:rsidP="005C5DFF">
      <w:pPr>
        <w:pStyle w:val="BodyText"/>
        <w:tabs>
          <w:tab w:val="left" w:pos="360"/>
        </w:tabs>
        <w:overflowPunct w:val="0"/>
        <w:autoSpaceDE w:val="0"/>
        <w:autoSpaceDN w:val="0"/>
        <w:adjustRightInd w:val="0"/>
        <w:spacing w:after="0" w:line="360" w:lineRule="auto"/>
        <w:ind w:left="360" w:right="-43"/>
        <w:jc w:val="thaiDistribute"/>
        <w:textAlignment w:val="baseline"/>
        <w:rPr>
          <w:rFonts w:asciiTheme="majorHAnsi" w:hAnsiTheme="majorHAnsi" w:cstheme="majorHAnsi"/>
          <w:sz w:val="19"/>
          <w:szCs w:val="19"/>
        </w:rPr>
      </w:pPr>
    </w:p>
    <w:p w14:paraId="40433A02" w14:textId="0EBE39A7" w:rsidR="0024743F" w:rsidRPr="008E6DAC" w:rsidRDefault="0024743F" w:rsidP="00246C8F">
      <w:pPr>
        <w:pStyle w:val="BodyText"/>
        <w:numPr>
          <w:ilvl w:val="0"/>
          <w:numId w:val="46"/>
        </w:numPr>
        <w:tabs>
          <w:tab w:val="left" w:pos="360"/>
        </w:tabs>
        <w:overflowPunct w:val="0"/>
        <w:autoSpaceDE w:val="0"/>
        <w:autoSpaceDN w:val="0"/>
        <w:adjustRightInd w:val="0"/>
        <w:spacing w:after="0" w:line="360" w:lineRule="auto"/>
        <w:ind w:left="360" w:right="-43"/>
        <w:jc w:val="thaiDistribute"/>
        <w:textAlignment w:val="baseline"/>
        <w:rPr>
          <w:rFonts w:asciiTheme="majorHAnsi" w:hAnsiTheme="majorHAnsi" w:cstheme="majorHAnsi"/>
          <w:sz w:val="19"/>
          <w:szCs w:val="19"/>
          <w:lang w:val="en-US"/>
        </w:rPr>
      </w:pPr>
      <w:r w:rsidRPr="008E6DAC">
        <w:rPr>
          <w:rFonts w:asciiTheme="majorHAnsi" w:hAnsiTheme="majorHAnsi" w:cstheme="majorHAnsi"/>
          <w:sz w:val="19"/>
          <w:szCs w:val="19"/>
          <w:lang w:val="en-US"/>
        </w:rPr>
        <w:t xml:space="preserve">I had </w:t>
      </w:r>
      <w:r w:rsidR="00EF4E2C">
        <w:rPr>
          <w:rFonts w:asciiTheme="majorHAnsi" w:hAnsiTheme="majorHAnsi" w:cstheme="majorHAnsi"/>
          <w:sz w:val="19"/>
          <w:szCs w:val="19"/>
          <w:lang w:val="en-US"/>
        </w:rPr>
        <w:t xml:space="preserve">previously </w:t>
      </w:r>
      <w:r w:rsidRPr="008E6DAC">
        <w:rPr>
          <w:rFonts w:asciiTheme="majorHAnsi" w:hAnsiTheme="majorHAnsi" w:cstheme="majorHAnsi"/>
          <w:sz w:val="19"/>
          <w:szCs w:val="19"/>
          <w:lang w:val="en-US"/>
        </w:rPr>
        <w:t>expressed a modified opinion on the consolidated and separate financial statements</w:t>
      </w:r>
      <w:r w:rsidR="00EF4E2C">
        <w:rPr>
          <w:rFonts w:asciiTheme="majorHAnsi" w:hAnsiTheme="majorHAnsi" w:cstheme="majorHAnsi"/>
          <w:sz w:val="19"/>
          <w:szCs w:val="19"/>
          <w:lang w:val="en-US"/>
        </w:rPr>
        <w:t xml:space="preserve"> for the year 2017</w:t>
      </w:r>
      <w:r w:rsidRPr="008E6DAC">
        <w:rPr>
          <w:rFonts w:asciiTheme="majorHAnsi" w:hAnsiTheme="majorHAnsi" w:cstheme="majorHAnsi"/>
          <w:sz w:val="19"/>
          <w:szCs w:val="19"/>
          <w:lang w:val="en-US"/>
        </w:rPr>
        <w:t xml:space="preserve"> in respect of</w:t>
      </w:r>
      <w:r w:rsidR="00EF4E2C">
        <w:rPr>
          <w:rFonts w:asciiTheme="majorHAnsi" w:hAnsiTheme="majorHAnsi" w:cstheme="majorHAnsi"/>
          <w:sz w:val="19"/>
          <w:szCs w:val="19"/>
          <w:lang w:val="en-US"/>
        </w:rPr>
        <w:t xml:space="preserve"> doubtful </w:t>
      </w:r>
      <w:r w:rsidRPr="008E6DAC">
        <w:rPr>
          <w:rFonts w:asciiTheme="majorHAnsi" w:hAnsiTheme="majorHAnsi" w:cstheme="majorHAnsi"/>
          <w:sz w:val="19"/>
          <w:szCs w:val="19"/>
          <w:lang w:val="en-US"/>
        </w:rPr>
        <w:t>of trade accounts receivable</w:t>
      </w:r>
      <w:r w:rsidR="00EF4E2C">
        <w:rPr>
          <w:rFonts w:asciiTheme="majorHAnsi" w:hAnsiTheme="majorHAnsi" w:cstheme="majorHAnsi"/>
          <w:sz w:val="19"/>
          <w:szCs w:val="19"/>
          <w:lang w:val="en-US"/>
        </w:rPr>
        <w:t xml:space="preserve"> from</w:t>
      </w:r>
      <w:r w:rsidRPr="008E6DAC">
        <w:rPr>
          <w:rFonts w:asciiTheme="majorHAnsi" w:hAnsiTheme="majorHAnsi" w:cstheme="majorHAnsi"/>
          <w:sz w:val="19"/>
          <w:szCs w:val="19"/>
          <w:lang w:val="en-US"/>
        </w:rPr>
        <w:t xml:space="preserve"> and short – term loans to related companies</w:t>
      </w:r>
      <w:r w:rsidRPr="008E6DAC">
        <w:rPr>
          <w:rFonts w:asciiTheme="majorHAnsi" w:hAnsiTheme="majorHAnsi" w:cstheme="majorHAnsi" w:hint="cs"/>
          <w:sz w:val="19"/>
          <w:szCs w:val="19"/>
          <w:cs/>
          <w:lang w:val="en-US" w:bidi="th-TH"/>
        </w:rPr>
        <w:t xml:space="preserve"> </w:t>
      </w:r>
      <w:r w:rsidRPr="008E6DAC">
        <w:rPr>
          <w:rFonts w:asciiTheme="majorHAnsi" w:hAnsiTheme="majorHAnsi" w:cstheme="majorHAnsi"/>
          <w:sz w:val="19"/>
          <w:szCs w:val="19"/>
          <w:lang w:val="en-US"/>
        </w:rPr>
        <w:t>totaling Baht 178.96 million and Baht 103.57 million,</w:t>
      </w:r>
      <w:r w:rsidRPr="008E6DAC">
        <w:rPr>
          <w:rFonts w:asciiTheme="majorHAnsi" w:hAnsiTheme="majorHAnsi" w:cstheme="majorHAnsi" w:hint="cs"/>
          <w:sz w:val="19"/>
          <w:szCs w:val="19"/>
          <w:cs/>
          <w:lang w:val="en-US" w:bidi="th-TH"/>
        </w:rPr>
        <w:t xml:space="preserve"> </w:t>
      </w:r>
      <w:r w:rsidRPr="008E6DAC">
        <w:rPr>
          <w:rFonts w:asciiTheme="majorHAnsi" w:hAnsiTheme="majorHAnsi" w:cstheme="majorHAnsi"/>
          <w:sz w:val="19"/>
          <w:szCs w:val="19"/>
          <w:lang w:val="en-US"/>
        </w:rPr>
        <w:t xml:space="preserve">respectively. Such receivables have been under process of project feasibility study and negotiation with strategic investors to join the operations in the future. As discussed </w:t>
      </w:r>
      <w:r w:rsidRPr="008E6DAC">
        <w:rPr>
          <w:rFonts w:ascii="Arial" w:hAnsi="Arial"/>
          <w:sz w:val="19"/>
          <w:szCs w:val="19"/>
        </w:rPr>
        <w:t xml:space="preserve">in Notes 9 and 11 to the financial statements, </w:t>
      </w:r>
      <w:r w:rsidRPr="008E6DAC">
        <w:rPr>
          <w:rFonts w:asciiTheme="majorHAnsi" w:hAnsiTheme="majorHAnsi" w:cstheme="majorHAnsi"/>
          <w:sz w:val="19"/>
          <w:szCs w:val="19"/>
          <w:lang w:val="en-US"/>
        </w:rPr>
        <w:t>during the year 2018, the management of the Company and the overseas subsidiary ha</w:t>
      </w:r>
      <w:r w:rsidR="00EF4E2C">
        <w:rPr>
          <w:rFonts w:asciiTheme="majorHAnsi" w:hAnsiTheme="majorHAnsi" w:cstheme="majorHAnsi"/>
          <w:sz w:val="19"/>
          <w:szCs w:val="19"/>
          <w:lang w:val="en-US"/>
        </w:rPr>
        <w:t>d re</w:t>
      </w:r>
      <w:r w:rsidRPr="008E6DAC">
        <w:rPr>
          <w:rFonts w:asciiTheme="majorHAnsi" w:hAnsiTheme="majorHAnsi" w:cstheme="majorHAnsi"/>
          <w:sz w:val="19"/>
          <w:szCs w:val="19"/>
          <w:lang w:val="en-US"/>
        </w:rPr>
        <w:t>assessed the recoverability of such balances</w:t>
      </w:r>
      <w:r w:rsidR="00EF4E2C">
        <w:rPr>
          <w:rFonts w:asciiTheme="majorHAnsi" w:hAnsiTheme="majorHAnsi" w:cstheme="majorHAnsi"/>
          <w:sz w:val="19"/>
          <w:szCs w:val="19"/>
          <w:lang w:val="en-US"/>
        </w:rPr>
        <w:t xml:space="preserve"> to be more remote and therefore decided to set up full allowances in the accounts.</w:t>
      </w:r>
      <w:r w:rsidRPr="008E6DAC">
        <w:rPr>
          <w:rFonts w:asciiTheme="majorHAnsi" w:hAnsiTheme="majorHAnsi" w:cstheme="majorHAnsi"/>
          <w:sz w:val="19"/>
          <w:szCs w:val="19"/>
          <w:lang w:val="en-US"/>
        </w:rPr>
        <w:t xml:space="preserve"> </w:t>
      </w:r>
      <w:r w:rsidR="008E6DAC" w:rsidRPr="008E6DAC">
        <w:rPr>
          <w:rFonts w:asciiTheme="majorHAnsi" w:hAnsiTheme="majorHAnsi" w:cstheme="majorHAnsi"/>
          <w:sz w:val="19"/>
          <w:szCs w:val="19"/>
          <w:lang w:val="en-US"/>
        </w:rPr>
        <w:t>M</w:t>
      </w:r>
      <w:r w:rsidRPr="008E6DAC">
        <w:rPr>
          <w:rFonts w:asciiTheme="majorHAnsi" w:hAnsiTheme="majorHAnsi" w:cstheme="majorHAnsi"/>
          <w:sz w:val="19"/>
          <w:szCs w:val="19"/>
          <w:lang w:val="en-US"/>
        </w:rPr>
        <w:t>y opinion on the current year</w:t>
      </w:r>
      <w:r w:rsidR="008E6DAC">
        <w:rPr>
          <w:rFonts w:asciiTheme="majorHAnsi" w:hAnsiTheme="majorHAnsi" w:cstheme="majorHAnsi"/>
          <w:sz w:val="19"/>
          <w:szCs w:val="19"/>
          <w:lang w:val="en-US"/>
        </w:rPr>
        <w:t xml:space="preserve"> financial statements</w:t>
      </w:r>
      <w:r w:rsidRPr="008E6DAC">
        <w:rPr>
          <w:rFonts w:asciiTheme="majorHAnsi" w:hAnsiTheme="majorHAnsi" w:cstheme="majorHAnsi"/>
          <w:sz w:val="19"/>
          <w:szCs w:val="19"/>
          <w:lang w:val="en-US"/>
        </w:rPr>
        <w:t xml:space="preserve"> </w:t>
      </w:r>
      <w:r w:rsidR="008E6DAC">
        <w:rPr>
          <w:rFonts w:asciiTheme="majorHAnsi" w:hAnsiTheme="majorHAnsi" w:cstheme="majorHAnsi"/>
          <w:sz w:val="19"/>
          <w:szCs w:val="19"/>
          <w:lang w:val="en-US"/>
        </w:rPr>
        <w:t>is</w:t>
      </w:r>
      <w:r w:rsidR="008E6DAC" w:rsidRPr="008E6DAC">
        <w:rPr>
          <w:rFonts w:asciiTheme="majorHAnsi" w:hAnsiTheme="majorHAnsi" w:cstheme="majorHAnsi"/>
          <w:sz w:val="19"/>
          <w:szCs w:val="19"/>
          <w:lang w:val="en-US"/>
        </w:rPr>
        <w:t xml:space="preserve"> not </w:t>
      </w:r>
      <w:r w:rsidRPr="008E6DAC">
        <w:rPr>
          <w:rFonts w:asciiTheme="majorHAnsi" w:hAnsiTheme="majorHAnsi" w:cstheme="majorHAnsi"/>
          <w:sz w:val="19"/>
          <w:szCs w:val="19"/>
          <w:lang w:val="en-US"/>
        </w:rPr>
        <w:t xml:space="preserve">modified </w:t>
      </w:r>
      <w:r w:rsidR="008E6DAC" w:rsidRPr="008E6DAC">
        <w:rPr>
          <w:rFonts w:asciiTheme="majorHAnsi" w:hAnsiTheme="majorHAnsi" w:cstheme="majorHAnsi"/>
          <w:sz w:val="19"/>
          <w:szCs w:val="19"/>
          <w:lang w:val="en-US"/>
        </w:rPr>
        <w:t>on</w:t>
      </w:r>
      <w:r w:rsidRPr="008E6DAC">
        <w:rPr>
          <w:rFonts w:asciiTheme="majorHAnsi" w:hAnsiTheme="majorHAnsi" w:cstheme="majorHAnsi"/>
          <w:sz w:val="19"/>
          <w:szCs w:val="19"/>
          <w:lang w:val="en-US"/>
        </w:rPr>
        <w:t xml:space="preserve"> this matter</w:t>
      </w:r>
      <w:r w:rsidR="008E6DAC">
        <w:rPr>
          <w:rFonts w:asciiTheme="majorHAnsi" w:hAnsiTheme="majorHAnsi" w:cstheme="majorHAnsi"/>
          <w:sz w:val="19"/>
          <w:szCs w:val="19"/>
          <w:lang w:val="en-US"/>
        </w:rPr>
        <w:t>.</w:t>
      </w:r>
      <w:r w:rsidRPr="008E6DAC">
        <w:rPr>
          <w:rFonts w:asciiTheme="majorHAnsi" w:hAnsiTheme="majorHAnsi" w:cstheme="majorHAnsi"/>
          <w:sz w:val="19"/>
          <w:szCs w:val="19"/>
          <w:lang w:val="en-US"/>
        </w:rPr>
        <w:t xml:space="preserve"> </w:t>
      </w:r>
    </w:p>
    <w:p w14:paraId="48A713D1" w14:textId="77777777" w:rsidR="000E5048" w:rsidRPr="00881170" w:rsidRDefault="000E5048" w:rsidP="00881170">
      <w:pPr>
        <w:pStyle w:val="ListParagraph"/>
        <w:spacing w:after="0" w:line="360" w:lineRule="auto"/>
        <w:ind w:left="450"/>
        <w:contextualSpacing w:val="0"/>
        <w:jc w:val="thaiDistribute"/>
        <w:rPr>
          <w:rFonts w:asciiTheme="majorHAnsi" w:hAnsiTheme="majorHAnsi" w:cstheme="majorHAnsi"/>
          <w:b/>
          <w:bCs/>
          <w:sz w:val="19"/>
          <w:szCs w:val="19"/>
          <w:lang w:val="en-US"/>
        </w:rPr>
      </w:pPr>
    </w:p>
    <w:p w14:paraId="50E9D662"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62C300EA"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1CE79BED"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79887684"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0A528E3F" w14:textId="5EB76F52"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3E367DD2" w14:textId="4B85C3BF" w:rsidR="00F0514C" w:rsidRDefault="00F0514C" w:rsidP="00B67D9B">
      <w:pPr>
        <w:autoSpaceDE w:val="0"/>
        <w:autoSpaceDN w:val="0"/>
        <w:adjustRightInd w:val="0"/>
        <w:spacing w:line="360" w:lineRule="auto"/>
        <w:rPr>
          <w:rFonts w:asciiTheme="majorHAnsi" w:hAnsiTheme="majorHAnsi" w:cstheme="majorHAnsi"/>
          <w:i/>
          <w:iCs/>
          <w:sz w:val="19"/>
          <w:szCs w:val="19"/>
          <w:lang w:val="en-US"/>
        </w:rPr>
      </w:pPr>
    </w:p>
    <w:p w14:paraId="65B343C9" w14:textId="293C6836" w:rsidR="00F0514C" w:rsidRDefault="00F0514C" w:rsidP="00B67D9B">
      <w:pPr>
        <w:autoSpaceDE w:val="0"/>
        <w:autoSpaceDN w:val="0"/>
        <w:adjustRightInd w:val="0"/>
        <w:spacing w:line="360" w:lineRule="auto"/>
        <w:rPr>
          <w:rFonts w:asciiTheme="majorHAnsi" w:hAnsiTheme="majorHAnsi" w:cstheme="majorHAnsi"/>
          <w:i/>
          <w:iCs/>
          <w:sz w:val="19"/>
          <w:szCs w:val="19"/>
          <w:lang w:val="en-US"/>
        </w:rPr>
      </w:pPr>
    </w:p>
    <w:p w14:paraId="0D76B291" w14:textId="77777777" w:rsidR="00F0514C" w:rsidRDefault="00F0514C" w:rsidP="00B67D9B">
      <w:pPr>
        <w:autoSpaceDE w:val="0"/>
        <w:autoSpaceDN w:val="0"/>
        <w:adjustRightInd w:val="0"/>
        <w:spacing w:line="360" w:lineRule="auto"/>
        <w:rPr>
          <w:rFonts w:asciiTheme="majorHAnsi" w:hAnsiTheme="majorHAnsi" w:cstheme="majorHAnsi"/>
          <w:i/>
          <w:iCs/>
          <w:sz w:val="19"/>
          <w:szCs w:val="19"/>
          <w:lang w:val="en-US"/>
        </w:rPr>
      </w:pPr>
    </w:p>
    <w:p w14:paraId="3A481469" w14:textId="77777777" w:rsidR="009A7F4D" w:rsidRDefault="009A7F4D" w:rsidP="00B67D9B">
      <w:pPr>
        <w:autoSpaceDE w:val="0"/>
        <w:autoSpaceDN w:val="0"/>
        <w:adjustRightInd w:val="0"/>
        <w:spacing w:line="360" w:lineRule="auto"/>
        <w:rPr>
          <w:rFonts w:asciiTheme="majorHAnsi" w:hAnsiTheme="majorHAnsi" w:cstheme="majorHAnsi"/>
          <w:i/>
          <w:iCs/>
          <w:sz w:val="19"/>
          <w:szCs w:val="19"/>
          <w:lang w:val="en-US"/>
        </w:rPr>
      </w:pPr>
    </w:p>
    <w:p w14:paraId="77DA6EA3" w14:textId="1C27B499" w:rsidR="00B67D9B" w:rsidRDefault="00EF1EAF" w:rsidP="00B67D9B">
      <w:pPr>
        <w:autoSpaceDE w:val="0"/>
        <w:autoSpaceDN w:val="0"/>
        <w:adjustRightInd w:val="0"/>
        <w:spacing w:line="360" w:lineRule="auto"/>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lastRenderedPageBreak/>
        <w:t>Key Audit Matters</w:t>
      </w:r>
    </w:p>
    <w:p w14:paraId="483BB644" w14:textId="77777777" w:rsidR="00B67D9B" w:rsidRPr="00881170" w:rsidRDefault="00B67D9B" w:rsidP="00881170">
      <w:pPr>
        <w:pStyle w:val="ListParagraph"/>
        <w:spacing w:after="0" w:line="360" w:lineRule="auto"/>
        <w:ind w:left="450"/>
        <w:contextualSpacing w:val="0"/>
        <w:jc w:val="thaiDistribute"/>
        <w:rPr>
          <w:rFonts w:asciiTheme="majorHAnsi" w:hAnsiTheme="majorHAnsi" w:cstheme="majorHAnsi"/>
          <w:b/>
          <w:bCs/>
          <w:sz w:val="19"/>
          <w:szCs w:val="19"/>
          <w:lang w:val="en-US"/>
        </w:rPr>
      </w:pPr>
    </w:p>
    <w:p w14:paraId="053099D5" w14:textId="7A43CBA2" w:rsidR="00EF1EAF" w:rsidRDefault="00EF1EAF" w:rsidP="00160053">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Key audit matters are those matters that, in my professional judgment, </w:t>
      </w:r>
      <w:r w:rsidR="00EF4E2C">
        <w:rPr>
          <w:rFonts w:asciiTheme="majorHAnsi" w:hAnsiTheme="majorHAnsi" w:cstheme="majorHAnsi"/>
          <w:sz w:val="19"/>
          <w:szCs w:val="19"/>
          <w:lang w:val="en-US"/>
        </w:rPr>
        <w:t>a</w:t>
      </w:r>
      <w:r w:rsidRPr="0032246D">
        <w:rPr>
          <w:rFonts w:asciiTheme="majorHAnsi" w:hAnsiTheme="majorHAnsi" w:cstheme="majorHAnsi"/>
          <w:sz w:val="19"/>
          <w:szCs w:val="19"/>
          <w:lang w:val="en-US"/>
        </w:rPr>
        <w:t xml:space="preserve">re of most significance in my audit of the financial statements of the current </w:t>
      </w:r>
      <w:r w:rsidR="00160053">
        <w:rPr>
          <w:rFonts w:asciiTheme="majorHAnsi" w:hAnsiTheme="majorHAnsi" w:cstheme="majorHAnsi"/>
          <w:sz w:val="19"/>
          <w:szCs w:val="19"/>
          <w:lang w:val="en-US"/>
        </w:rPr>
        <w:t>period</w:t>
      </w:r>
      <w:r w:rsidRPr="0032246D">
        <w:rPr>
          <w:rFonts w:asciiTheme="majorHAnsi" w:hAnsiTheme="majorHAnsi" w:cstheme="majorHAnsi"/>
          <w:sz w:val="19"/>
          <w:szCs w:val="19"/>
          <w:lang w:val="en-US"/>
        </w:rPr>
        <w:t>. These matters were addressed in the context of my audit of the financial statements as a whole, and in forming my opinion thereon, and I do not provide a separate opinion on these matters. In addition to the matters described in the Basis for Qualified Opinion section</w:t>
      </w:r>
      <w:r w:rsidR="00160053">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 xml:space="preserve"> I have determined the matters described below to be the key audit matters to be communicated in my report. </w:t>
      </w:r>
    </w:p>
    <w:p w14:paraId="15E7F2F3" w14:textId="77777777" w:rsidR="009A7F4D" w:rsidRDefault="009A7F4D" w:rsidP="00160053">
      <w:pPr>
        <w:autoSpaceDE w:val="0"/>
        <w:autoSpaceDN w:val="0"/>
        <w:adjustRightInd w:val="0"/>
        <w:spacing w:line="360" w:lineRule="auto"/>
        <w:jc w:val="thaiDistribute"/>
        <w:rPr>
          <w:rFonts w:asciiTheme="majorHAnsi" w:hAnsiTheme="majorHAnsi" w:cstheme="majorHAnsi"/>
          <w:sz w:val="19"/>
          <w:szCs w:val="19"/>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253"/>
      </w:tblGrid>
      <w:tr w:rsidR="00EF1EAF" w:rsidRPr="0032246D" w14:paraId="5AA5A653" w14:textId="77777777" w:rsidTr="005902DA">
        <w:trPr>
          <w:tblHeader/>
        </w:trPr>
        <w:tc>
          <w:tcPr>
            <w:tcW w:w="4106" w:type="dxa"/>
            <w:tcBorders>
              <w:bottom w:val="single" w:sz="4" w:space="0" w:color="auto"/>
            </w:tcBorders>
            <w:shd w:val="clear" w:color="auto" w:fill="auto"/>
          </w:tcPr>
          <w:p w14:paraId="3794CBF8" w14:textId="77777777" w:rsidR="00EF1EAF" w:rsidRPr="0032246D" w:rsidRDefault="00EF1EAF" w:rsidP="005902DA">
            <w:pPr>
              <w:tabs>
                <w:tab w:val="left" w:pos="0"/>
              </w:tabs>
              <w:spacing w:line="360" w:lineRule="auto"/>
              <w:jc w:val="thaiDistribute"/>
              <w:rPr>
                <w:rFonts w:asciiTheme="majorHAnsi" w:hAnsiTheme="majorHAnsi" w:cstheme="majorHAnsi"/>
                <w:b/>
                <w:bCs/>
                <w:szCs w:val="18"/>
                <w:lang w:val="en-US"/>
              </w:rPr>
            </w:pPr>
            <w:r w:rsidRPr="0032246D">
              <w:rPr>
                <w:rFonts w:asciiTheme="majorHAnsi" w:hAnsiTheme="majorHAnsi" w:cstheme="majorHAnsi"/>
                <w:b/>
                <w:bCs/>
                <w:szCs w:val="18"/>
                <w:lang w:val="en-US"/>
              </w:rPr>
              <w:t>Key audit matters</w:t>
            </w:r>
          </w:p>
        </w:tc>
        <w:tc>
          <w:tcPr>
            <w:tcW w:w="4253" w:type="dxa"/>
            <w:tcBorders>
              <w:bottom w:val="single" w:sz="4" w:space="0" w:color="auto"/>
            </w:tcBorders>
            <w:shd w:val="clear" w:color="auto" w:fill="auto"/>
          </w:tcPr>
          <w:p w14:paraId="6261BD3D" w14:textId="3078BF3C" w:rsidR="00EF1EAF" w:rsidRPr="0032246D" w:rsidRDefault="00235B44" w:rsidP="005902DA">
            <w:pPr>
              <w:tabs>
                <w:tab w:val="left" w:pos="0"/>
              </w:tabs>
              <w:spacing w:line="360" w:lineRule="auto"/>
              <w:jc w:val="thaiDistribute"/>
              <w:rPr>
                <w:rFonts w:asciiTheme="majorHAnsi" w:hAnsiTheme="majorHAnsi" w:cstheme="majorHAnsi"/>
                <w:b/>
                <w:bCs/>
                <w:szCs w:val="18"/>
                <w:lang w:val="en-US"/>
              </w:rPr>
            </w:pPr>
            <w:r>
              <w:rPr>
                <w:rFonts w:asciiTheme="majorHAnsi" w:hAnsiTheme="majorHAnsi" w:cstheme="majorHAnsi"/>
                <w:b/>
                <w:bCs/>
                <w:szCs w:val="18"/>
                <w:lang w:val="en-US"/>
              </w:rPr>
              <w:t>How the matter was addressed in the audit</w:t>
            </w:r>
          </w:p>
        </w:tc>
      </w:tr>
      <w:tr w:rsidR="00EF1EAF" w:rsidRPr="0032246D" w14:paraId="666B6331" w14:textId="77777777" w:rsidTr="005902DA">
        <w:tc>
          <w:tcPr>
            <w:tcW w:w="4106" w:type="dxa"/>
            <w:tcBorders>
              <w:bottom w:val="single" w:sz="4" w:space="0" w:color="auto"/>
            </w:tcBorders>
            <w:shd w:val="clear" w:color="auto" w:fill="auto"/>
          </w:tcPr>
          <w:p w14:paraId="1FEA9DD7"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i/>
                <w:iCs/>
                <w:szCs w:val="18"/>
                <w:lang w:val="en-US"/>
              </w:rPr>
            </w:pPr>
          </w:p>
          <w:p w14:paraId="06B5F2DD" w14:textId="77777777" w:rsidR="00EF1EAF" w:rsidRPr="007568DA" w:rsidRDefault="007568DA" w:rsidP="007568DA">
            <w:pPr>
              <w:autoSpaceDE w:val="0"/>
              <w:autoSpaceDN w:val="0"/>
              <w:adjustRightInd w:val="0"/>
              <w:spacing w:line="360" w:lineRule="auto"/>
              <w:jc w:val="both"/>
              <w:rPr>
                <w:rFonts w:asciiTheme="majorHAnsi" w:hAnsiTheme="majorHAnsi" w:cstheme="majorHAnsi"/>
                <w:b/>
                <w:bCs/>
                <w:spacing w:val="-2"/>
                <w:szCs w:val="18"/>
                <w:lang w:val="en-US"/>
              </w:rPr>
            </w:pPr>
            <w:r w:rsidRPr="007568DA">
              <w:rPr>
                <w:rFonts w:asciiTheme="majorHAnsi" w:hAnsiTheme="majorHAnsi" w:cstheme="majorHAnsi"/>
                <w:b/>
                <w:bCs/>
                <w:spacing w:val="-2"/>
                <w:szCs w:val="18"/>
                <w:lang w:val="en-US"/>
              </w:rPr>
              <w:t>Revenue recognition for construction contract</w:t>
            </w:r>
          </w:p>
          <w:p w14:paraId="57C24B08" w14:textId="77777777" w:rsidR="00881170" w:rsidRDefault="00881170" w:rsidP="00881170">
            <w:pPr>
              <w:pStyle w:val="ListParagraph"/>
              <w:spacing w:after="0" w:line="360" w:lineRule="auto"/>
              <w:ind w:left="450"/>
              <w:contextualSpacing w:val="0"/>
              <w:jc w:val="thaiDistribute"/>
              <w:rPr>
                <w:rFonts w:asciiTheme="majorHAnsi" w:hAnsiTheme="majorHAnsi" w:cstheme="majorHAnsi"/>
                <w:spacing w:val="-2"/>
                <w:szCs w:val="18"/>
                <w:lang w:val="en-US"/>
              </w:rPr>
            </w:pPr>
          </w:p>
          <w:p w14:paraId="6C1B1360" w14:textId="14EDB1C1" w:rsidR="00EF1EAF" w:rsidRPr="007568DA" w:rsidRDefault="00EF1EAF" w:rsidP="007568DA">
            <w:pPr>
              <w:autoSpaceDE w:val="0"/>
              <w:autoSpaceDN w:val="0"/>
              <w:adjustRightInd w:val="0"/>
              <w:spacing w:line="360" w:lineRule="auto"/>
              <w:jc w:val="both"/>
              <w:rPr>
                <w:rFonts w:asciiTheme="majorHAnsi" w:hAnsiTheme="majorHAnsi" w:cstheme="majorHAnsi"/>
                <w:spacing w:val="-2"/>
                <w:szCs w:val="18"/>
                <w:lang w:val="en-US"/>
              </w:rPr>
            </w:pPr>
            <w:r w:rsidRPr="007568DA">
              <w:rPr>
                <w:rFonts w:asciiTheme="majorHAnsi" w:hAnsiTheme="majorHAnsi" w:cstheme="majorHAnsi"/>
                <w:spacing w:val="-2"/>
                <w:szCs w:val="18"/>
                <w:lang w:val="en-US"/>
              </w:rPr>
              <w:t>The Group and the Company have revenues from construction services for the year ended 31 December 201</w:t>
            </w:r>
            <w:r w:rsidR="0013283E">
              <w:rPr>
                <w:rFonts w:asciiTheme="majorHAnsi" w:hAnsiTheme="majorHAnsi" w:cstheme="majorHAnsi"/>
                <w:spacing w:val="-2"/>
                <w:szCs w:val="18"/>
                <w:lang w:val="en-US"/>
              </w:rPr>
              <w:t>8</w:t>
            </w:r>
            <w:r w:rsidRPr="007568DA">
              <w:rPr>
                <w:rFonts w:asciiTheme="majorHAnsi" w:hAnsiTheme="majorHAnsi" w:cstheme="majorHAnsi"/>
                <w:spacing w:val="-2"/>
                <w:szCs w:val="18"/>
                <w:lang w:val="en-US"/>
              </w:rPr>
              <w:t xml:space="preserve"> of </w:t>
            </w:r>
            <w:r w:rsidRPr="00F20FF2">
              <w:rPr>
                <w:rFonts w:asciiTheme="majorHAnsi" w:hAnsiTheme="majorHAnsi" w:cstheme="majorHAnsi"/>
                <w:spacing w:val="-2"/>
                <w:szCs w:val="18"/>
                <w:lang w:val="en-US"/>
              </w:rPr>
              <w:t xml:space="preserve">Baht </w:t>
            </w:r>
            <w:r w:rsidR="00F20FF2">
              <w:rPr>
                <w:rFonts w:asciiTheme="majorHAnsi" w:hAnsiTheme="majorHAnsi" w:cstheme="majorHAnsi"/>
                <w:spacing w:val="-2"/>
                <w:szCs w:val="18"/>
                <w:lang w:val="en-US"/>
              </w:rPr>
              <w:t>54,763.85</w:t>
            </w:r>
            <w:r w:rsidRPr="00F20FF2">
              <w:rPr>
                <w:rFonts w:asciiTheme="majorHAnsi" w:hAnsiTheme="majorHAnsi" w:cstheme="majorHAnsi"/>
                <w:spacing w:val="-2"/>
                <w:szCs w:val="18"/>
                <w:lang w:val="en-US"/>
              </w:rPr>
              <w:t xml:space="preserve"> million and Baht </w:t>
            </w:r>
            <w:r w:rsidR="00F20FF2">
              <w:rPr>
                <w:rFonts w:asciiTheme="majorHAnsi" w:hAnsiTheme="majorHAnsi" w:cstheme="majorHAnsi"/>
                <w:spacing w:val="-2"/>
                <w:szCs w:val="18"/>
                <w:lang w:val="en-US"/>
              </w:rPr>
              <w:t>40,239.97</w:t>
            </w:r>
            <w:r w:rsidR="007568DA" w:rsidRPr="00F20FF2">
              <w:rPr>
                <w:rFonts w:asciiTheme="majorHAnsi" w:hAnsiTheme="majorHAnsi" w:cstheme="majorHAnsi"/>
                <w:spacing w:val="-2"/>
                <w:szCs w:val="18"/>
                <w:lang w:val="en-US"/>
              </w:rPr>
              <w:t xml:space="preserve"> </w:t>
            </w:r>
            <w:r w:rsidRPr="00F20FF2">
              <w:rPr>
                <w:rFonts w:asciiTheme="majorHAnsi" w:hAnsiTheme="majorHAnsi" w:cstheme="majorHAnsi"/>
                <w:spacing w:val="-2"/>
                <w:szCs w:val="18"/>
                <w:lang w:val="en-US"/>
              </w:rPr>
              <w:t>million, respectively</w:t>
            </w:r>
            <w:r w:rsidRPr="007568DA">
              <w:rPr>
                <w:rFonts w:asciiTheme="majorHAnsi" w:hAnsiTheme="majorHAnsi" w:cstheme="majorHAnsi"/>
                <w:spacing w:val="-2"/>
                <w:szCs w:val="18"/>
                <w:lang w:val="en-US"/>
              </w:rPr>
              <w:t>.</w:t>
            </w:r>
            <w:r w:rsidRPr="007568DA">
              <w:rPr>
                <w:rFonts w:asciiTheme="majorHAnsi" w:hAnsiTheme="majorHAnsi" w:cstheme="majorHAnsi"/>
                <w:spacing w:val="-2"/>
                <w:szCs w:val="18"/>
                <w:rtl/>
                <w:cs/>
              </w:rPr>
              <w:t xml:space="preserve"> </w:t>
            </w:r>
            <w:r w:rsidRPr="007568DA">
              <w:rPr>
                <w:rFonts w:asciiTheme="majorHAnsi" w:hAnsiTheme="majorHAnsi" w:cstheme="majorHAnsi"/>
                <w:spacing w:val="-2"/>
                <w:szCs w:val="18"/>
                <w:lang w:val="en-US"/>
              </w:rPr>
              <w:t>Revenue recognition for construction services requires significant judgement and estimates to assess the appropriateness assessment of revenue relating to construction services under the contract</w:t>
            </w:r>
            <w:r w:rsidR="00EF4E2C">
              <w:rPr>
                <w:rFonts w:asciiTheme="majorHAnsi" w:hAnsiTheme="majorHAnsi" w:cstheme="majorHAnsi"/>
                <w:spacing w:val="-2"/>
                <w:szCs w:val="18"/>
                <w:lang w:val="en-US"/>
              </w:rPr>
              <w:t>s</w:t>
            </w:r>
            <w:r w:rsidRPr="007568DA">
              <w:rPr>
                <w:rFonts w:asciiTheme="majorHAnsi" w:hAnsiTheme="majorHAnsi" w:cstheme="majorHAnsi"/>
                <w:spacing w:val="-2"/>
                <w:szCs w:val="18"/>
                <w:lang w:val="en-US"/>
              </w:rPr>
              <w:t>. The Group’s and Company’s revenues are recognized based on the percentage</w:t>
            </w:r>
            <w:r w:rsidR="00EF4E2C">
              <w:rPr>
                <w:rFonts w:asciiTheme="majorHAnsi" w:hAnsiTheme="majorHAnsi" w:cstheme="majorHAnsi"/>
                <w:spacing w:val="-2"/>
                <w:szCs w:val="18"/>
                <w:lang w:val="en-US"/>
              </w:rPr>
              <w:t>s</w:t>
            </w:r>
            <w:r w:rsidRPr="007568DA">
              <w:rPr>
                <w:rFonts w:asciiTheme="majorHAnsi" w:hAnsiTheme="majorHAnsi" w:cstheme="majorHAnsi"/>
                <w:spacing w:val="-2"/>
                <w:szCs w:val="18"/>
                <w:lang w:val="en-US"/>
              </w:rPr>
              <w:t xml:space="preserve"> of completion. Such revenues from construction services are material and have a significant impact to related accounting transactions including earned revenues not yet billed, receipts in excess of contracted work in progress, and costs of construction. The percentage of completion requires management’s judgement and continuous review of estimated revenues and cost budget throughout the construction periods and the estimate</w:t>
            </w:r>
            <w:r w:rsidR="00EF4E2C">
              <w:rPr>
                <w:rFonts w:asciiTheme="majorHAnsi" w:hAnsiTheme="majorHAnsi" w:cstheme="majorHAnsi"/>
                <w:spacing w:val="-2"/>
                <w:szCs w:val="18"/>
                <w:lang w:val="en-US"/>
              </w:rPr>
              <w:t>s</w:t>
            </w:r>
            <w:r w:rsidRPr="007568DA">
              <w:rPr>
                <w:rFonts w:asciiTheme="majorHAnsi" w:hAnsiTheme="majorHAnsi" w:cstheme="majorHAnsi"/>
                <w:spacing w:val="-2"/>
                <w:szCs w:val="18"/>
                <w:lang w:val="en-US"/>
              </w:rPr>
              <w:t xml:space="preserve"> needs to be adjusted as necessary.</w:t>
            </w:r>
          </w:p>
          <w:p w14:paraId="65C335D8" w14:textId="77777777" w:rsidR="00EF1EAF" w:rsidRPr="0032246D" w:rsidRDefault="00EF1EAF" w:rsidP="005902DA">
            <w:pPr>
              <w:autoSpaceDE w:val="0"/>
              <w:autoSpaceDN w:val="0"/>
              <w:adjustRightInd w:val="0"/>
              <w:spacing w:line="360" w:lineRule="auto"/>
              <w:jc w:val="both"/>
              <w:rPr>
                <w:rFonts w:asciiTheme="majorHAnsi" w:hAnsiTheme="majorHAnsi" w:cstheme="majorHAnsi"/>
                <w:szCs w:val="18"/>
                <w:lang w:val="en-US"/>
              </w:rPr>
            </w:pPr>
          </w:p>
          <w:p w14:paraId="0CF595EF" w14:textId="566F4AAB" w:rsidR="00EF1EAF" w:rsidRPr="007568DA" w:rsidRDefault="00EF1EAF" w:rsidP="005902DA">
            <w:pPr>
              <w:autoSpaceDE w:val="0"/>
              <w:autoSpaceDN w:val="0"/>
              <w:adjustRightInd w:val="0"/>
              <w:spacing w:line="360" w:lineRule="auto"/>
              <w:jc w:val="both"/>
              <w:rPr>
                <w:rFonts w:asciiTheme="majorHAnsi" w:hAnsiTheme="majorHAnsi" w:cstheme="majorHAnsi"/>
                <w:spacing w:val="-2"/>
                <w:szCs w:val="18"/>
                <w:lang w:val="en-US"/>
              </w:rPr>
            </w:pPr>
            <w:r w:rsidRPr="007568DA">
              <w:rPr>
                <w:rFonts w:asciiTheme="majorHAnsi" w:hAnsiTheme="majorHAnsi" w:cstheme="majorHAnsi"/>
                <w:spacing w:val="-2"/>
                <w:szCs w:val="18"/>
                <w:lang w:val="en-US"/>
              </w:rPr>
              <w:t xml:space="preserve">The Group and the Company disclosed accounting policies for revenue recognition for construction in Note </w:t>
            </w:r>
            <w:r w:rsidR="00F20FF2">
              <w:rPr>
                <w:rFonts w:asciiTheme="majorHAnsi" w:hAnsiTheme="majorHAnsi" w:cstheme="majorHAnsi"/>
                <w:spacing w:val="-2"/>
                <w:szCs w:val="18"/>
                <w:lang w:val="en-US"/>
              </w:rPr>
              <w:t>4</w:t>
            </w:r>
            <w:r w:rsidRPr="007568DA">
              <w:rPr>
                <w:rFonts w:asciiTheme="majorHAnsi" w:hAnsiTheme="majorHAnsi" w:cstheme="majorHAnsi"/>
                <w:spacing w:val="-2"/>
                <w:szCs w:val="18"/>
                <w:lang w:val="en-US"/>
              </w:rPr>
              <w:t xml:space="preserve"> to financial statements.</w:t>
            </w:r>
          </w:p>
          <w:p w14:paraId="4485ABF8" w14:textId="77777777" w:rsidR="00EF1EAF" w:rsidRPr="0032246D" w:rsidRDefault="00EF1EAF" w:rsidP="005902DA">
            <w:pPr>
              <w:tabs>
                <w:tab w:val="left" w:pos="0"/>
              </w:tabs>
              <w:spacing w:line="360" w:lineRule="auto"/>
              <w:jc w:val="thaiDistribute"/>
              <w:rPr>
                <w:rFonts w:asciiTheme="majorHAnsi" w:hAnsiTheme="majorHAnsi" w:cstheme="majorHAnsi"/>
                <w:szCs w:val="18"/>
                <w:lang w:val="en-US"/>
              </w:rPr>
            </w:pPr>
          </w:p>
          <w:p w14:paraId="57232122" w14:textId="77777777" w:rsidR="00EF1EAF" w:rsidRPr="0032246D" w:rsidRDefault="00EF1EAF" w:rsidP="005902DA">
            <w:pPr>
              <w:tabs>
                <w:tab w:val="left" w:pos="0"/>
              </w:tabs>
              <w:spacing w:line="360" w:lineRule="auto"/>
              <w:jc w:val="thaiDistribute"/>
              <w:rPr>
                <w:rFonts w:asciiTheme="majorHAnsi" w:hAnsiTheme="majorHAnsi" w:cstheme="majorHAnsi"/>
                <w:szCs w:val="18"/>
                <w:lang w:val="en-US"/>
              </w:rPr>
            </w:pPr>
          </w:p>
          <w:p w14:paraId="79BAFF99" w14:textId="77777777" w:rsidR="00EF1EAF" w:rsidRPr="0032246D" w:rsidRDefault="00EF1EAF" w:rsidP="005902DA">
            <w:pPr>
              <w:tabs>
                <w:tab w:val="left" w:pos="0"/>
              </w:tabs>
              <w:spacing w:line="360" w:lineRule="auto"/>
              <w:jc w:val="thaiDistribute"/>
              <w:rPr>
                <w:rFonts w:asciiTheme="majorHAnsi" w:hAnsiTheme="majorHAnsi" w:cstheme="majorHAnsi"/>
                <w:szCs w:val="18"/>
                <w:lang w:val="en-US"/>
              </w:rPr>
            </w:pPr>
          </w:p>
          <w:p w14:paraId="15EC8027" w14:textId="77777777" w:rsidR="00EF1EAF" w:rsidRPr="0032246D" w:rsidRDefault="00EF1EAF" w:rsidP="005902DA">
            <w:pPr>
              <w:tabs>
                <w:tab w:val="left" w:pos="0"/>
              </w:tabs>
              <w:spacing w:line="360" w:lineRule="auto"/>
              <w:jc w:val="thaiDistribute"/>
              <w:rPr>
                <w:rFonts w:asciiTheme="majorHAnsi" w:hAnsiTheme="majorHAnsi" w:cstheme="majorHAnsi"/>
                <w:szCs w:val="18"/>
                <w:lang w:val="en-US"/>
              </w:rPr>
            </w:pPr>
          </w:p>
          <w:p w14:paraId="2CFD1D7A" w14:textId="77777777" w:rsidR="00EF1EAF" w:rsidRPr="0032246D" w:rsidRDefault="00EF1EAF" w:rsidP="005902DA">
            <w:pPr>
              <w:tabs>
                <w:tab w:val="left" w:pos="0"/>
              </w:tabs>
              <w:spacing w:line="360" w:lineRule="auto"/>
              <w:jc w:val="thaiDistribute"/>
              <w:rPr>
                <w:rFonts w:asciiTheme="majorHAnsi" w:hAnsiTheme="majorHAnsi" w:cstheme="majorHAnsi"/>
                <w:szCs w:val="18"/>
                <w:lang w:val="en-US"/>
              </w:rPr>
            </w:pPr>
          </w:p>
          <w:p w14:paraId="0560ABD6" w14:textId="77777777" w:rsidR="00EF1EAF" w:rsidRPr="0032246D" w:rsidRDefault="00EF1EAF" w:rsidP="005902DA">
            <w:pPr>
              <w:tabs>
                <w:tab w:val="left" w:pos="0"/>
              </w:tabs>
              <w:spacing w:line="360" w:lineRule="auto"/>
              <w:jc w:val="thaiDistribute"/>
              <w:rPr>
                <w:rFonts w:asciiTheme="majorHAnsi" w:hAnsiTheme="majorHAnsi" w:cstheme="majorHAnsi"/>
                <w:szCs w:val="18"/>
                <w:lang w:val="en-US"/>
              </w:rPr>
            </w:pPr>
          </w:p>
        </w:tc>
        <w:tc>
          <w:tcPr>
            <w:tcW w:w="4253" w:type="dxa"/>
            <w:tcBorders>
              <w:bottom w:val="single" w:sz="4" w:space="0" w:color="auto"/>
            </w:tcBorders>
            <w:shd w:val="clear" w:color="auto" w:fill="auto"/>
          </w:tcPr>
          <w:p w14:paraId="68ACF466"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4E28EE15" w14:textId="77777777" w:rsidR="00EF1EAF" w:rsidRPr="0032246D" w:rsidRDefault="00EF1EAF" w:rsidP="005902DA">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71463504" w14:textId="77777777" w:rsidR="00881170" w:rsidRDefault="00881170" w:rsidP="00881170">
            <w:pPr>
              <w:autoSpaceDE w:val="0"/>
              <w:autoSpaceDN w:val="0"/>
              <w:spacing w:after="0" w:line="360" w:lineRule="auto"/>
              <w:ind w:left="258"/>
              <w:jc w:val="thaiDistribute"/>
              <w:rPr>
                <w:rFonts w:asciiTheme="majorHAnsi" w:hAnsiTheme="majorHAnsi" w:cstheme="majorHAnsi"/>
                <w:szCs w:val="18"/>
                <w:lang w:val="en-US"/>
              </w:rPr>
            </w:pPr>
          </w:p>
          <w:p w14:paraId="65991C44" w14:textId="1ED31DEB" w:rsidR="00C72A4F" w:rsidRDefault="00EF1EAF" w:rsidP="00C72A4F">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Obtained an understanding and the process for the preparation of reports and budgets used for the determination of the percentage</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of completion</w:t>
            </w:r>
            <w:r w:rsidR="00C72A4F">
              <w:rPr>
                <w:rFonts w:asciiTheme="majorHAnsi" w:hAnsiTheme="majorHAnsi" w:cstheme="majorHAnsi"/>
                <w:szCs w:val="18"/>
                <w:lang w:val="en-US"/>
              </w:rPr>
              <w:t xml:space="preserve"> of construction project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of the Group and the Company. </w:t>
            </w:r>
          </w:p>
          <w:p w14:paraId="76651C7D" w14:textId="242F9185" w:rsidR="00EF1EAF" w:rsidRDefault="00C72A4F" w:rsidP="00C72A4F">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w:t>
            </w:r>
            <w:r w:rsidR="00636091">
              <w:rPr>
                <w:rFonts w:asciiTheme="majorHAnsi" w:hAnsiTheme="majorHAnsi" w:cstheme="majorHAnsi"/>
                <w:szCs w:val="18"/>
                <w:lang w:val="en-US"/>
              </w:rPr>
              <w:t>i</w:t>
            </w:r>
            <w:r>
              <w:rPr>
                <w:rFonts w:asciiTheme="majorHAnsi" w:hAnsiTheme="majorHAnsi" w:cstheme="majorHAnsi"/>
                <w:szCs w:val="18"/>
                <w:lang w:val="en-US"/>
              </w:rPr>
              <w:t>ng tested cost budgets estimation for construction project</w:t>
            </w:r>
            <w:r w:rsidR="00EF4E2C">
              <w:rPr>
                <w:rFonts w:asciiTheme="majorHAnsi" w:hAnsiTheme="majorHAnsi" w:cstheme="majorHAnsi"/>
                <w:szCs w:val="18"/>
                <w:lang w:val="en-US"/>
              </w:rPr>
              <w:t>s</w:t>
            </w:r>
            <w:r>
              <w:rPr>
                <w:rFonts w:asciiTheme="majorHAnsi" w:hAnsiTheme="majorHAnsi" w:cstheme="majorHAnsi"/>
                <w:szCs w:val="18"/>
                <w:lang w:val="en-US"/>
              </w:rPr>
              <w:t xml:space="preserve"> by making inquiry of responsible executives and assessed the appropriateness of estimation. </w:t>
            </w:r>
          </w:p>
          <w:p w14:paraId="0AD65510" w14:textId="74EDBDCD" w:rsidR="00C72A4F" w:rsidRPr="0032246D" w:rsidRDefault="00C72A4F" w:rsidP="00C72A4F">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Tested and assessed the appropriateness of changes in estimated costs during the year</w:t>
            </w:r>
            <w:r w:rsidR="00723550">
              <w:rPr>
                <w:rFonts w:asciiTheme="majorHAnsi" w:hAnsiTheme="majorHAnsi" w:cstheme="majorHAnsi"/>
                <w:szCs w:val="18"/>
                <w:lang w:val="en-US"/>
              </w:rPr>
              <w:t>.</w:t>
            </w:r>
            <w:r w:rsidRPr="0032246D">
              <w:rPr>
                <w:rFonts w:asciiTheme="majorHAnsi" w:hAnsiTheme="majorHAnsi" w:cstheme="majorHAnsi"/>
                <w:szCs w:val="18"/>
                <w:lang w:val="en-US"/>
              </w:rPr>
              <w:t xml:space="preserve"> </w:t>
            </w:r>
          </w:p>
          <w:p w14:paraId="2002E01F" w14:textId="1B8D869D" w:rsidR="00EF1EAF" w:rsidRPr="0032246D" w:rsidRDefault="00EF1EAF" w:rsidP="00EF1EAF">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Verified the actual cost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with supporting document</w:t>
            </w:r>
            <w:r w:rsidR="00636091">
              <w:rPr>
                <w:rFonts w:asciiTheme="majorHAnsi" w:hAnsiTheme="majorHAnsi" w:cstheme="majorHAnsi"/>
                <w:szCs w:val="18"/>
                <w:lang w:val="en-US"/>
              </w:rPr>
              <w:t>s</w:t>
            </w:r>
            <w:r w:rsidRPr="0032246D">
              <w:rPr>
                <w:rFonts w:asciiTheme="majorHAnsi" w:hAnsiTheme="majorHAnsi" w:cstheme="majorHAnsi"/>
                <w:szCs w:val="18"/>
                <w:lang w:val="en-US"/>
              </w:rPr>
              <w:t xml:space="preserve"> and</w:t>
            </w:r>
            <w:r w:rsidR="00C72A4F">
              <w:rPr>
                <w:rFonts w:asciiTheme="majorHAnsi" w:hAnsiTheme="majorHAnsi" w:cstheme="majorHAnsi"/>
                <w:szCs w:val="18"/>
                <w:lang w:val="en-US"/>
              </w:rPr>
              <w:t xml:space="preserve"> assessed the reasonableness of</w:t>
            </w:r>
            <w:r w:rsidRPr="0032246D">
              <w:rPr>
                <w:rFonts w:asciiTheme="majorHAnsi" w:hAnsiTheme="majorHAnsi" w:cstheme="majorHAnsi"/>
                <w:szCs w:val="18"/>
                <w:lang w:val="en-US"/>
              </w:rPr>
              <w:t xml:space="preserve"> estimated costs to complete</w:t>
            </w:r>
            <w:r w:rsidR="00C72A4F">
              <w:rPr>
                <w:rFonts w:asciiTheme="majorHAnsi" w:hAnsiTheme="majorHAnsi" w:cstheme="majorHAnsi"/>
                <w:szCs w:val="18"/>
                <w:lang w:val="en-US"/>
              </w:rPr>
              <w:t xml:space="preserve"> for</w:t>
            </w:r>
            <w:r w:rsidRPr="0032246D">
              <w:rPr>
                <w:rFonts w:asciiTheme="majorHAnsi" w:hAnsiTheme="majorHAnsi" w:cstheme="majorHAnsi"/>
                <w:szCs w:val="18"/>
                <w:rtl/>
                <w:cs/>
                <w:lang w:val="en-US"/>
              </w:rPr>
              <w:t xml:space="preserve"> </w:t>
            </w:r>
            <w:r w:rsidRPr="0032246D">
              <w:rPr>
                <w:rFonts w:asciiTheme="majorHAnsi" w:hAnsiTheme="majorHAnsi" w:cstheme="majorHAnsi"/>
                <w:szCs w:val="18"/>
                <w:lang w:val="en-US"/>
              </w:rPr>
              <w:t>the</w:t>
            </w:r>
            <w:r w:rsidR="00EF4E2C">
              <w:rPr>
                <w:rFonts w:asciiTheme="majorHAnsi" w:hAnsiTheme="majorHAnsi" w:cstheme="majorHAnsi"/>
                <w:szCs w:val="18"/>
                <w:lang w:val="en-US"/>
              </w:rPr>
              <w:t xml:space="preserve"> construction</w:t>
            </w:r>
            <w:r w:rsidRPr="0032246D">
              <w:rPr>
                <w:rFonts w:asciiTheme="majorHAnsi" w:hAnsiTheme="majorHAnsi" w:cstheme="majorHAnsi"/>
                <w:szCs w:val="18"/>
                <w:lang w:val="en-US"/>
              </w:rPr>
              <w:t xml:space="preserve"> project</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w:t>
            </w:r>
          </w:p>
          <w:p w14:paraId="69F16BF0" w14:textId="53D88E02" w:rsidR="00362F89" w:rsidRPr="00723550" w:rsidRDefault="00362F89" w:rsidP="00723550">
            <w:pPr>
              <w:numPr>
                <w:ilvl w:val="0"/>
                <w:numId w:val="47"/>
              </w:numPr>
              <w:autoSpaceDE w:val="0"/>
              <w:autoSpaceDN w:val="0"/>
              <w:spacing w:after="0" w:line="360" w:lineRule="auto"/>
              <w:ind w:left="258" w:hanging="258"/>
              <w:jc w:val="thaiDistribute"/>
              <w:rPr>
                <w:rFonts w:asciiTheme="majorHAnsi" w:hAnsiTheme="majorHAnsi" w:cstheme="majorHAnsi"/>
                <w:spacing w:val="-4"/>
                <w:szCs w:val="18"/>
                <w:lang w:val="en-US"/>
              </w:rPr>
            </w:pPr>
            <w:r w:rsidRPr="007568DA">
              <w:rPr>
                <w:rFonts w:asciiTheme="majorHAnsi" w:hAnsiTheme="majorHAnsi" w:cstheme="majorHAnsi"/>
                <w:spacing w:val="-4"/>
                <w:szCs w:val="18"/>
                <w:lang w:val="en-US"/>
              </w:rPr>
              <w:t>Compared gross profit from the start of project</w:t>
            </w:r>
            <w:r w:rsidR="00EF4E2C">
              <w:rPr>
                <w:rFonts w:asciiTheme="majorHAnsi" w:hAnsiTheme="majorHAnsi" w:cstheme="majorHAnsi"/>
                <w:spacing w:val="-4"/>
                <w:szCs w:val="18"/>
                <w:lang w:val="en-US"/>
              </w:rPr>
              <w:t>s</w:t>
            </w:r>
            <w:r w:rsidRPr="007568DA">
              <w:rPr>
                <w:rFonts w:asciiTheme="majorHAnsi" w:hAnsiTheme="majorHAnsi" w:cstheme="majorHAnsi"/>
                <w:spacing w:val="-4"/>
                <w:szCs w:val="18"/>
                <w:lang w:val="en-US"/>
              </w:rPr>
              <w:t xml:space="preserve"> up to the end of the year for analysis and assessment for the appropriateness of estimated costs</w:t>
            </w:r>
            <w:r>
              <w:rPr>
                <w:rFonts w:asciiTheme="majorHAnsi" w:hAnsiTheme="majorHAnsi" w:cstheme="majorHAnsi"/>
                <w:spacing w:val="-4"/>
                <w:szCs w:val="18"/>
                <w:lang w:val="en-US"/>
              </w:rPr>
              <w:t>.</w:t>
            </w:r>
            <w:r w:rsidRPr="007568DA">
              <w:rPr>
                <w:rFonts w:asciiTheme="majorHAnsi" w:hAnsiTheme="majorHAnsi" w:cstheme="majorHAnsi"/>
                <w:spacing w:val="-4"/>
                <w:szCs w:val="18"/>
                <w:lang w:val="en-US"/>
              </w:rPr>
              <w:t xml:space="preserve"> </w:t>
            </w:r>
            <w:r w:rsidRPr="007568DA">
              <w:rPr>
                <w:rFonts w:asciiTheme="majorHAnsi" w:hAnsiTheme="majorHAnsi" w:cstheme="majorHAnsi"/>
                <w:spacing w:val="-4"/>
                <w:szCs w:val="18"/>
                <w:rtl/>
                <w:cs/>
                <w:lang w:val="en-US"/>
              </w:rPr>
              <w:t xml:space="preserve"> </w:t>
            </w:r>
          </w:p>
          <w:p w14:paraId="76AF5CD4" w14:textId="44C956A4" w:rsidR="00EF4E2C" w:rsidRDefault="00636091" w:rsidP="00EF4E2C">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Evaluated the possible losses on construction projects by analysis the</w:t>
            </w:r>
            <w:r w:rsidR="00362F89" w:rsidRPr="0032246D">
              <w:rPr>
                <w:rFonts w:asciiTheme="majorHAnsi" w:hAnsiTheme="majorHAnsi" w:cstheme="majorHAnsi"/>
                <w:szCs w:val="18"/>
                <w:lang w:val="en-US"/>
              </w:rPr>
              <w:t xml:space="preserve"> reasonableness of</w:t>
            </w:r>
            <w:r>
              <w:rPr>
                <w:rFonts w:asciiTheme="majorHAnsi" w:hAnsiTheme="majorHAnsi" w:cstheme="majorHAnsi"/>
                <w:szCs w:val="18"/>
                <w:lang w:val="en-US"/>
              </w:rPr>
              <w:t xml:space="preserve"> actual costs incurred against</w:t>
            </w:r>
            <w:r w:rsidR="00362F89" w:rsidRPr="0032246D">
              <w:rPr>
                <w:rFonts w:asciiTheme="majorHAnsi" w:hAnsiTheme="majorHAnsi" w:cstheme="majorHAnsi"/>
                <w:szCs w:val="18"/>
                <w:lang w:val="en-US"/>
              </w:rPr>
              <w:t xml:space="preserve"> </w:t>
            </w:r>
            <w:r>
              <w:rPr>
                <w:rFonts w:asciiTheme="majorHAnsi" w:hAnsiTheme="majorHAnsi" w:cstheme="majorHAnsi"/>
                <w:szCs w:val="18"/>
                <w:lang w:val="en-US"/>
              </w:rPr>
              <w:t xml:space="preserve">total </w:t>
            </w:r>
            <w:r w:rsidR="00362F89" w:rsidRPr="0032246D">
              <w:rPr>
                <w:rFonts w:asciiTheme="majorHAnsi" w:hAnsiTheme="majorHAnsi" w:cstheme="majorHAnsi"/>
                <w:szCs w:val="18"/>
                <w:lang w:val="en-US"/>
              </w:rPr>
              <w:t xml:space="preserve">estimates </w:t>
            </w:r>
            <w:r>
              <w:rPr>
                <w:rFonts w:asciiTheme="majorHAnsi" w:hAnsiTheme="majorHAnsi" w:cstheme="majorHAnsi"/>
                <w:szCs w:val="18"/>
                <w:lang w:val="en-US"/>
              </w:rPr>
              <w:t xml:space="preserve">project </w:t>
            </w:r>
            <w:r w:rsidR="00362F89" w:rsidRPr="0032246D">
              <w:rPr>
                <w:rFonts w:asciiTheme="majorHAnsi" w:hAnsiTheme="majorHAnsi" w:cstheme="majorHAnsi"/>
                <w:szCs w:val="18"/>
                <w:lang w:val="en-US"/>
              </w:rPr>
              <w:t>costs</w:t>
            </w:r>
            <w:r>
              <w:rPr>
                <w:rFonts w:asciiTheme="majorHAnsi" w:hAnsiTheme="majorHAnsi" w:cstheme="majorHAnsi"/>
                <w:szCs w:val="18"/>
                <w:lang w:val="en-US"/>
              </w:rPr>
              <w:t xml:space="preserve">. </w:t>
            </w:r>
          </w:p>
          <w:p w14:paraId="592D9A3F" w14:textId="77777777" w:rsidR="009A7F4D" w:rsidRDefault="009A7F4D" w:rsidP="009A7F4D">
            <w:pPr>
              <w:pStyle w:val="ListParagraph"/>
              <w:rPr>
                <w:rFonts w:asciiTheme="majorHAnsi" w:hAnsiTheme="majorHAnsi" w:cstheme="majorHAnsi"/>
                <w:szCs w:val="18"/>
                <w:lang w:val="en-US"/>
              </w:rPr>
            </w:pPr>
          </w:p>
          <w:p w14:paraId="7B0DBD8C" w14:textId="77777777" w:rsidR="009A7F4D" w:rsidRDefault="009A7F4D" w:rsidP="009A7F4D">
            <w:pPr>
              <w:autoSpaceDE w:val="0"/>
              <w:autoSpaceDN w:val="0"/>
              <w:spacing w:after="0" w:line="360" w:lineRule="auto"/>
              <w:jc w:val="thaiDistribute"/>
              <w:rPr>
                <w:rFonts w:asciiTheme="majorHAnsi" w:hAnsiTheme="majorHAnsi" w:cstheme="majorHAnsi"/>
                <w:szCs w:val="18"/>
                <w:lang w:val="en-US"/>
              </w:rPr>
            </w:pPr>
          </w:p>
          <w:p w14:paraId="0B0BD11C" w14:textId="1DAD1B13" w:rsidR="00723550" w:rsidRDefault="00723550" w:rsidP="00F72E23">
            <w:pPr>
              <w:autoSpaceDE w:val="0"/>
              <w:autoSpaceDN w:val="0"/>
              <w:spacing w:after="0" w:line="360" w:lineRule="auto"/>
              <w:ind w:left="258"/>
              <w:jc w:val="thaiDistribute"/>
              <w:rPr>
                <w:rFonts w:asciiTheme="majorHAnsi" w:hAnsiTheme="majorHAnsi" w:cstheme="majorHAnsi"/>
                <w:szCs w:val="18"/>
                <w:lang w:val="en-US"/>
              </w:rPr>
            </w:pPr>
          </w:p>
          <w:p w14:paraId="14F47CCD" w14:textId="0264703C" w:rsidR="00F0514C" w:rsidRDefault="00F0514C" w:rsidP="00F72E23">
            <w:pPr>
              <w:autoSpaceDE w:val="0"/>
              <w:autoSpaceDN w:val="0"/>
              <w:spacing w:after="0" w:line="360" w:lineRule="auto"/>
              <w:ind w:left="258"/>
              <w:jc w:val="thaiDistribute"/>
              <w:rPr>
                <w:rFonts w:asciiTheme="majorHAnsi" w:hAnsiTheme="majorHAnsi" w:cstheme="majorHAnsi"/>
                <w:szCs w:val="18"/>
                <w:lang w:val="en-US"/>
              </w:rPr>
            </w:pPr>
          </w:p>
          <w:p w14:paraId="62326445" w14:textId="423D86EE" w:rsidR="00F0514C" w:rsidRDefault="00F0514C" w:rsidP="00F72E23">
            <w:pPr>
              <w:autoSpaceDE w:val="0"/>
              <w:autoSpaceDN w:val="0"/>
              <w:spacing w:after="0" w:line="360" w:lineRule="auto"/>
              <w:ind w:left="258"/>
              <w:jc w:val="thaiDistribute"/>
              <w:rPr>
                <w:rFonts w:asciiTheme="majorHAnsi" w:hAnsiTheme="majorHAnsi" w:cstheme="majorHAnsi"/>
                <w:szCs w:val="18"/>
                <w:lang w:val="en-US"/>
              </w:rPr>
            </w:pPr>
          </w:p>
          <w:p w14:paraId="4D6E3D77" w14:textId="1938D261" w:rsidR="00F0514C" w:rsidRDefault="00F0514C" w:rsidP="00F72E23">
            <w:pPr>
              <w:autoSpaceDE w:val="0"/>
              <w:autoSpaceDN w:val="0"/>
              <w:spacing w:after="0" w:line="360" w:lineRule="auto"/>
              <w:ind w:left="258"/>
              <w:jc w:val="thaiDistribute"/>
              <w:rPr>
                <w:rFonts w:asciiTheme="majorHAnsi" w:hAnsiTheme="majorHAnsi" w:cstheme="majorHAnsi"/>
                <w:szCs w:val="18"/>
                <w:lang w:val="en-US"/>
              </w:rPr>
            </w:pPr>
          </w:p>
          <w:p w14:paraId="33EB860A" w14:textId="77777777" w:rsidR="00F0514C" w:rsidRPr="00F72E23" w:rsidRDefault="00F0514C" w:rsidP="00F72E23">
            <w:pPr>
              <w:autoSpaceDE w:val="0"/>
              <w:autoSpaceDN w:val="0"/>
              <w:spacing w:after="0" w:line="360" w:lineRule="auto"/>
              <w:ind w:left="258"/>
              <w:jc w:val="thaiDistribute"/>
              <w:rPr>
                <w:rFonts w:asciiTheme="majorHAnsi" w:hAnsiTheme="majorHAnsi" w:cstheme="majorHAnsi"/>
                <w:szCs w:val="18"/>
                <w:lang w:val="en-US"/>
              </w:rPr>
            </w:pPr>
          </w:p>
          <w:p w14:paraId="46B2BDC9" w14:textId="77777777" w:rsidR="00723550" w:rsidRDefault="00723550" w:rsidP="00723550">
            <w:pPr>
              <w:autoSpaceDE w:val="0"/>
              <w:autoSpaceDN w:val="0"/>
              <w:spacing w:after="0" w:line="360" w:lineRule="auto"/>
              <w:ind w:left="258"/>
              <w:jc w:val="thaiDistribute"/>
              <w:rPr>
                <w:rFonts w:asciiTheme="majorHAnsi" w:hAnsiTheme="majorHAnsi" w:cstheme="majorHAnsi"/>
                <w:szCs w:val="18"/>
                <w:lang w:val="en-US"/>
              </w:rPr>
            </w:pPr>
          </w:p>
          <w:p w14:paraId="2A886214" w14:textId="5F61D199" w:rsidR="00EF1EAF" w:rsidRPr="00EF4E2C" w:rsidRDefault="00EF1EAF" w:rsidP="00EF4E2C">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sidRPr="00EF4E2C">
              <w:rPr>
                <w:rFonts w:asciiTheme="majorHAnsi" w:hAnsiTheme="majorHAnsi" w:cstheme="majorHAnsi"/>
                <w:szCs w:val="18"/>
                <w:lang w:val="en-US"/>
              </w:rPr>
              <w:lastRenderedPageBreak/>
              <w:t>Tested the</w:t>
            </w:r>
            <w:r w:rsidR="003254B8" w:rsidRPr="00EF4E2C">
              <w:rPr>
                <w:rFonts w:asciiTheme="majorHAnsi" w:hAnsiTheme="majorHAnsi" w:cstheme="majorHAnsi"/>
                <w:szCs w:val="18"/>
                <w:lang w:val="en-US"/>
              </w:rPr>
              <w:t xml:space="preserve"> bill</w:t>
            </w:r>
            <w:r w:rsidR="00EF4E2C">
              <w:rPr>
                <w:rFonts w:asciiTheme="majorHAnsi" w:hAnsiTheme="majorHAnsi" w:cstheme="majorHAnsi"/>
                <w:szCs w:val="18"/>
                <w:lang w:val="en-US"/>
              </w:rPr>
              <w:t>s</w:t>
            </w:r>
            <w:r w:rsidR="003254B8" w:rsidRPr="00EF4E2C">
              <w:rPr>
                <w:rFonts w:asciiTheme="majorHAnsi" w:hAnsiTheme="majorHAnsi" w:cstheme="majorHAnsi"/>
                <w:szCs w:val="18"/>
                <w:lang w:val="en-US"/>
              </w:rPr>
              <w:t xml:space="preserve"> for payment from customer </w:t>
            </w:r>
            <w:r w:rsidRPr="00EF4E2C">
              <w:rPr>
                <w:rFonts w:asciiTheme="majorHAnsi" w:hAnsiTheme="majorHAnsi" w:cstheme="majorHAnsi"/>
                <w:szCs w:val="18"/>
                <w:lang w:val="en-US"/>
              </w:rPr>
              <w:t xml:space="preserve">during the year with construction contracts and customers’ acceptance documents </w:t>
            </w:r>
            <w:r w:rsidR="003254B8" w:rsidRPr="00EF4E2C">
              <w:rPr>
                <w:rFonts w:asciiTheme="majorHAnsi" w:hAnsiTheme="majorHAnsi" w:cstheme="majorHAnsi"/>
                <w:szCs w:val="18"/>
                <w:lang w:val="en-US"/>
              </w:rPr>
              <w:t>to</w:t>
            </w:r>
            <w:r w:rsidRPr="00EF4E2C">
              <w:rPr>
                <w:rFonts w:asciiTheme="majorHAnsi" w:hAnsiTheme="majorHAnsi" w:cstheme="majorHAnsi"/>
                <w:szCs w:val="18"/>
                <w:lang w:val="en-US"/>
              </w:rPr>
              <w:t xml:space="preserve"> determin</w:t>
            </w:r>
            <w:r w:rsidR="00EF4E2C">
              <w:rPr>
                <w:rFonts w:asciiTheme="majorHAnsi" w:hAnsiTheme="majorHAnsi" w:cstheme="majorHAnsi"/>
                <w:szCs w:val="18"/>
                <w:lang w:val="en-US"/>
              </w:rPr>
              <w:t>e</w:t>
            </w:r>
            <w:r w:rsidRPr="00EF4E2C">
              <w:rPr>
                <w:rFonts w:asciiTheme="majorHAnsi" w:hAnsiTheme="majorHAnsi" w:cstheme="majorHAnsi"/>
                <w:szCs w:val="18"/>
                <w:lang w:val="en-US"/>
              </w:rPr>
              <w:t xml:space="preserve"> </w:t>
            </w:r>
            <w:r w:rsidR="00EF4E2C">
              <w:rPr>
                <w:rFonts w:asciiTheme="majorHAnsi" w:hAnsiTheme="majorHAnsi" w:cstheme="majorHAnsi"/>
                <w:szCs w:val="18"/>
                <w:lang w:val="en-US"/>
              </w:rPr>
              <w:t>the</w:t>
            </w:r>
            <w:r w:rsidRPr="00EF4E2C">
              <w:rPr>
                <w:rFonts w:asciiTheme="majorHAnsi" w:hAnsiTheme="majorHAnsi" w:cstheme="majorHAnsi"/>
                <w:szCs w:val="18"/>
                <w:lang w:val="en-US"/>
              </w:rPr>
              <w:t xml:space="preserve"> appropriateness of earned revenues not yet billed and receipts in excess of contracted work in progress</w:t>
            </w:r>
            <w:r w:rsidR="003254B8" w:rsidRPr="00EF4E2C">
              <w:rPr>
                <w:rFonts w:asciiTheme="majorHAnsi" w:hAnsiTheme="majorHAnsi" w:cstheme="majorHAnsi"/>
                <w:szCs w:val="18"/>
                <w:lang w:val="en-US"/>
              </w:rPr>
              <w:t>.</w:t>
            </w:r>
          </w:p>
          <w:p w14:paraId="4D276A0A" w14:textId="32D68C86" w:rsidR="00EF1EAF" w:rsidRDefault="00EF1EAF" w:rsidP="007568DA">
            <w:pPr>
              <w:numPr>
                <w:ilvl w:val="0"/>
                <w:numId w:val="47"/>
              </w:numPr>
              <w:autoSpaceDE w:val="0"/>
              <w:autoSpaceDN w:val="0"/>
              <w:spacing w:after="0" w:line="360" w:lineRule="auto"/>
              <w:ind w:left="258" w:hanging="258"/>
              <w:jc w:val="both"/>
              <w:rPr>
                <w:rFonts w:asciiTheme="majorHAnsi" w:hAnsiTheme="majorHAnsi" w:cstheme="majorHAnsi"/>
                <w:spacing w:val="-6"/>
                <w:szCs w:val="18"/>
                <w:lang w:val="en-US"/>
              </w:rPr>
            </w:pPr>
            <w:r w:rsidRPr="007568DA">
              <w:rPr>
                <w:rFonts w:asciiTheme="majorHAnsi" w:hAnsiTheme="majorHAnsi" w:cstheme="majorHAnsi"/>
                <w:spacing w:val="-6"/>
                <w:szCs w:val="18"/>
                <w:lang w:val="en-US"/>
              </w:rPr>
              <w:t>Performed site visit for significant projects, inquired the progress of projects from engineers and compared and assessed the appropriateness of the percentages of completion of construction projects for comparison with accounting percentage</w:t>
            </w:r>
            <w:r w:rsidR="00EF4E2C">
              <w:rPr>
                <w:rFonts w:asciiTheme="majorHAnsi" w:hAnsiTheme="majorHAnsi" w:cstheme="majorHAnsi"/>
                <w:spacing w:val="-6"/>
                <w:szCs w:val="18"/>
                <w:lang w:val="en-US"/>
              </w:rPr>
              <w:t>s</w:t>
            </w:r>
            <w:r w:rsidRPr="007568DA">
              <w:rPr>
                <w:rFonts w:asciiTheme="majorHAnsi" w:hAnsiTheme="majorHAnsi" w:cstheme="majorHAnsi"/>
                <w:spacing w:val="-6"/>
                <w:szCs w:val="18"/>
                <w:lang w:val="en-US"/>
              </w:rPr>
              <w:t xml:space="preserve"> of completion</w:t>
            </w:r>
            <w:r w:rsidR="00881170">
              <w:rPr>
                <w:rFonts w:asciiTheme="majorHAnsi" w:hAnsiTheme="majorHAnsi" w:cstheme="majorHAnsi"/>
                <w:spacing w:val="-6"/>
                <w:szCs w:val="18"/>
                <w:lang w:val="en-US"/>
              </w:rPr>
              <w:t>.</w:t>
            </w:r>
          </w:p>
          <w:p w14:paraId="226DB953" w14:textId="6BD9AF3E" w:rsidR="007568DA" w:rsidRPr="00881170" w:rsidRDefault="00EF1EAF" w:rsidP="00881170">
            <w:pPr>
              <w:numPr>
                <w:ilvl w:val="0"/>
                <w:numId w:val="47"/>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Assessed the adequacy of the Group’s and the Company’s disclosure for revenue</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recognition</w:t>
            </w:r>
            <w:r w:rsidR="00881170">
              <w:rPr>
                <w:rFonts w:asciiTheme="majorHAnsi" w:hAnsiTheme="majorHAnsi" w:cstheme="majorHAnsi"/>
                <w:szCs w:val="18"/>
                <w:lang w:val="en-US"/>
              </w:rPr>
              <w:t>.</w:t>
            </w:r>
          </w:p>
        </w:tc>
      </w:tr>
      <w:tr w:rsidR="00EF1EAF" w:rsidRPr="0032246D" w14:paraId="3564EC10" w14:textId="77777777" w:rsidTr="00EF1EAF">
        <w:tc>
          <w:tcPr>
            <w:tcW w:w="4106" w:type="dxa"/>
            <w:tcBorders>
              <w:top w:val="single" w:sz="4" w:space="0" w:color="auto"/>
              <w:bottom w:val="single" w:sz="4" w:space="0" w:color="auto"/>
            </w:tcBorders>
            <w:shd w:val="clear" w:color="auto" w:fill="auto"/>
          </w:tcPr>
          <w:p w14:paraId="253A4887" w14:textId="77777777" w:rsidR="00881170" w:rsidRDefault="00881170" w:rsidP="00881170">
            <w:pPr>
              <w:autoSpaceDE w:val="0"/>
              <w:autoSpaceDN w:val="0"/>
              <w:spacing w:after="0" w:line="360" w:lineRule="auto"/>
              <w:ind w:left="258"/>
              <w:jc w:val="thaiDistribute"/>
              <w:rPr>
                <w:rFonts w:asciiTheme="majorHAnsi" w:hAnsiTheme="majorHAnsi" w:cstheme="majorHAnsi"/>
                <w:b/>
                <w:bCs/>
                <w:szCs w:val="18"/>
                <w:lang w:val="en-US"/>
              </w:rPr>
            </w:pPr>
          </w:p>
          <w:p w14:paraId="027352DF" w14:textId="6F15751A" w:rsidR="00EF1EAF" w:rsidRPr="006567A8" w:rsidRDefault="00EF1EAF" w:rsidP="005902DA">
            <w:pPr>
              <w:autoSpaceDE w:val="0"/>
              <w:autoSpaceDN w:val="0"/>
              <w:adjustRightInd w:val="0"/>
              <w:spacing w:line="360" w:lineRule="auto"/>
              <w:jc w:val="both"/>
              <w:rPr>
                <w:rFonts w:asciiTheme="majorHAnsi" w:hAnsiTheme="majorHAnsi" w:cstheme="majorHAnsi"/>
                <w:b/>
                <w:bCs/>
                <w:szCs w:val="18"/>
                <w:lang w:val="en-US"/>
              </w:rPr>
            </w:pPr>
            <w:r w:rsidRPr="006567A8">
              <w:rPr>
                <w:rFonts w:asciiTheme="majorHAnsi" w:hAnsiTheme="majorHAnsi" w:cstheme="majorHAnsi"/>
                <w:b/>
                <w:bCs/>
                <w:szCs w:val="18"/>
                <w:lang w:val="en-US"/>
              </w:rPr>
              <w:t xml:space="preserve">Impairment of trade accounts receivable </w:t>
            </w:r>
          </w:p>
          <w:p w14:paraId="1D3EEB56" w14:textId="77777777" w:rsidR="00EF1EAF" w:rsidRPr="006567A8" w:rsidRDefault="00EF1EAF" w:rsidP="00881170">
            <w:pPr>
              <w:autoSpaceDE w:val="0"/>
              <w:autoSpaceDN w:val="0"/>
              <w:spacing w:after="0" w:line="360" w:lineRule="auto"/>
              <w:ind w:left="258"/>
              <w:jc w:val="thaiDistribute"/>
              <w:rPr>
                <w:rFonts w:asciiTheme="majorHAnsi" w:hAnsiTheme="majorHAnsi" w:cstheme="majorHAnsi"/>
                <w:i/>
                <w:iCs/>
                <w:szCs w:val="18"/>
                <w:lang w:val="en-US"/>
              </w:rPr>
            </w:pPr>
          </w:p>
          <w:p w14:paraId="656D8C94" w14:textId="77777777" w:rsidR="000413D4" w:rsidRDefault="00507D85" w:rsidP="00EF1EAF">
            <w:pPr>
              <w:tabs>
                <w:tab w:val="left" w:pos="450"/>
                <w:tab w:val="left" w:pos="540"/>
              </w:tabs>
              <w:spacing w:line="360" w:lineRule="auto"/>
              <w:jc w:val="both"/>
              <w:rPr>
                <w:rFonts w:asciiTheme="majorHAnsi" w:hAnsiTheme="majorHAnsi" w:cstheme="majorHAnsi"/>
                <w:szCs w:val="18"/>
                <w:lang w:val="en-US"/>
              </w:rPr>
            </w:pPr>
            <w:r>
              <w:rPr>
                <w:rFonts w:asciiTheme="majorHAnsi" w:hAnsiTheme="majorHAnsi" w:cstheme="majorHAnsi"/>
                <w:szCs w:val="18"/>
                <w:lang w:val="en-US"/>
              </w:rPr>
              <w:t>T</w:t>
            </w:r>
            <w:r w:rsidR="00EF1EAF" w:rsidRPr="006567A8">
              <w:rPr>
                <w:rFonts w:asciiTheme="majorHAnsi" w:hAnsiTheme="majorHAnsi" w:cstheme="majorHAnsi"/>
                <w:szCs w:val="18"/>
                <w:lang w:val="en-US"/>
              </w:rPr>
              <w:t>he Group and the Company have trade accounts receivable</w:t>
            </w:r>
            <w:r>
              <w:rPr>
                <w:rFonts w:asciiTheme="majorHAnsi" w:hAnsiTheme="majorHAnsi" w:cstheme="majorHAnsi"/>
                <w:szCs w:val="18"/>
                <w:lang w:val="en-US"/>
              </w:rPr>
              <w:t xml:space="preserve"> </w:t>
            </w:r>
            <w:r w:rsidR="00A2405C">
              <w:rPr>
                <w:rFonts w:asciiTheme="majorHAnsi" w:hAnsiTheme="majorHAnsi" w:cstheme="majorHAnsi"/>
                <w:szCs w:val="18"/>
                <w:lang w:val="en-US"/>
              </w:rPr>
              <w:t>(</w:t>
            </w:r>
            <w:r>
              <w:rPr>
                <w:rFonts w:asciiTheme="majorHAnsi" w:hAnsiTheme="majorHAnsi" w:cstheme="majorHAnsi"/>
                <w:szCs w:val="18"/>
                <w:lang w:val="en-US"/>
              </w:rPr>
              <w:t>net of allowance for doubtful accounts</w:t>
            </w:r>
            <w:r w:rsidR="00A2405C">
              <w:rPr>
                <w:rFonts w:asciiTheme="majorHAnsi" w:hAnsiTheme="majorHAnsi" w:cstheme="majorHAnsi"/>
                <w:szCs w:val="18"/>
                <w:lang w:val="en-US"/>
              </w:rPr>
              <w:t>)</w:t>
            </w:r>
            <w:r>
              <w:rPr>
                <w:rFonts w:asciiTheme="majorHAnsi" w:hAnsiTheme="majorHAnsi" w:cstheme="majorHAnsi"/>
                <w:szCs w:val="18"/>
                <w:lang w:val="en-US"/>
              </w:rPr>
              <w:t xml:space="preserve"> a</w:t>
            </w:r>
            <w:r w:rsidRPr="006567A8">
              <w:rPr>
                <w:rFonts w:asciiTheme="majorHAnsi" w:hAnsiTheme="majorHAnsi" w:cstheme="majorHAnsi"/>
                <w:szCs w:val="18"/>
                <w:lang w:val="en-US"/>
              </w:rPr>
              <w:t>s at 31 December 2018</w:t>
            </w:r>
            <w:r w:rsidR="00EF1EAF" w:rsidRPr="006567A8">
              <w:rPr>
                <w:rFonts w:asciiTheme="majorHAnsi" w:hAnsiTheme="majorHAnsi" w:cstheme="majorHAnsi"/>
                <w:szCs w:val="18"/>
                <w:lang w:val="en-US"/>
              </w:rPr>
              <w:t xml:space="preserve"> of Baht </w:t>
            </w:r>
            <w:r>
              <w:rPr>
                <w:rFonts w:asciiTheme="majorHAnsi" w:hAnsiTheme="majorHAnsi" w:cstheme="majorHAnsi"/>
                <w:szCs w:val="18"/>
                <w:lang w:val="en-US"/>
              </w:rPr>
              <w:t xml:space="preserve">11,427.97 </w:t>
            </w:r>
            <w:r w:rsidR="00EF1EAF" w:rsidRPr="006567A8">
              <w:rPr>
                <w:rFonts w:asciiTheme="majorHAnsi" w:hAnsiTheme="majorHAnsi" w:cstheme="majorHAnsi"/>
                <w:szCs w:val="18"/>
                <w:lang w:val="en-US"/>
              </w:rPr>
              <w:t>million and Baht</w:t>
            </w:r>
            <w:r>
              <w:rPr>
                <w:rFonts w:asciiTheme="majorHAnsi" w:hAnsiTheme="majorHAnsi" w:cstheme="majorHAnsi"/>
                <w:szCs w:val="18"/>
                <w:lang w:val="en-US"/>
              </w:rPr>
              <w:t xml:space="preserve"> 10,658.00</w:t>
            </w:r>
            <w:r w:rsidR="00EF1EAF" w:rsidRPr="006567A8">
              <w:rPr>
                <w:rFonts w:asciiTheme="majorHAnsi" w:hAnsiTheme="majorHAnsi" w:cstheme="majorHAnsi"/>
                <w:szCs w:val="18"/>
                <w:lang w:val="en-US"/>
              </w:rPr>
              <w:t xml:space="preserve"> million, respectively. During the year, the Group and the Company recognized allowance for doubtful accounts of Baht </w:t>
            </w:r>
            <w:r>
              <w:rPr>
                <w:rFonts w:asciiTheme="majorHAnsi" w:hAnsiTheme="majorHAnsi" w:cstheme="majorHAnsi"/>
                <w:szCs w:val="18"/>
                <w:lang w:val="en-US"/>
              </w:rPr>
              <w:t>101.31</w:t>
            </w:r>
            <w:r w:rsidR="00EF1EAF" w:rsidRPr="006567A8">
              <w:rPr>
                <w:rFonts w:asciiTheme="majorHAnsi" w:hAnsiTheme="majorHAnsi" w:cstheme="majorHAnsi"/>
                <w:szCs w:val="18"/>
                <w:lang w:val="en-US"/>
              </w:rPr>
              <w:t xml:space="preserve"> million and Baht </w:t>
            </w:r>
            <w:r>
              <w:rPr>
                <w:rFonts w:asciiTheme="majorHAnsi" w:hAnsiTheme="majorHAnsi" w:cstheme="majorHAnsi"/>
                <w:szCs w:val="18"/>
                <w:lang w:val="en-US"/>
              </w:rPr>
              <w:t>8.80</w:t>
            </w:r>
            <w:r w:rsidR="00EF1EAF" w:rsidRPr="006567A8">
              <w:rPr>
                <w:rFonts w:asciiTheme="majorHAnsi" w:hAnsiTheme="majorHAnsi" w:cstheme="majorHAnsi"/>
                <w:szCs w:val="18"/>
                <w:lang w:val="en-US"/>
              </w:rPr>
              <w:t xml:space="preserve"> million, respectively. The estimation of allowance for doubtful accounts is to reflect impairment of receivables that may result from non-collection. Management is required to use judgement to assess the estimation using assumption, including the probability for collection based on circumstances, except for the matters discussed under the basis for qualified opinion.</w:t>
            </w:r>
            <w:r w:rsidR="007568DA" w:rsidRPr="006567A8">
              <w:rPr>
                <w:rFonts w:asciiTheme="majorHAnsi" w:hAnsiTheme="majorHAnsi" w:cstheme="majorHAnsi"/>
                <w:szCs w:val="18"/>
                <w:lang w:val="en-US"/>
              </w:rPr>
              <w:t xml:space="preserve"> </w:t>
            </w:r>
          </w:p>
          <w:p w14:paraId="21FB9AD6" w14:textId="77777777" w:rsidR="000413D4" w:rsidRDefault="000413D4" w:rsidP="00EF1EAF">
            <w:pPr>
              <w:tabs>
                <w:tab w:val="left" w:pos="450"/>
                <w:tab w:val="left" w:pos="540"/>
              </w:tabs>
              <w:spacing w:line="360" w:lineRule="auto"/>
              <w:jc w:val="both"/>
              <w:rPr>
                <w:rFonts w:asciiTheme="majorHAnsi" w:hAnsiTheme="majorHAnsi" w:cstheme="majorHAnsi"/>
                <w:szCs w:val="18"/>
                <w:lang w:val="en-US"/>
              </w:rPr>
            </w:pPr>
          </w:p>
          <w:p w14:paraId="11D7102C" w14:textId="36B6E853" w:rsidR="00EF1EAF" w:rsidRPr="006567A8" w:rsidRDefault="00EF1EAF" w:rsidP="00EF1EAF">
            <w:pPr>
              <w:tabs>
                <w:tab w:val="left" w:pos="450"/>
                <w:tab w:val="left" w:pos="540"/>
              </w:tabs>
              <w:spacing w:line="360" w:lineRule="auto"/>
              <w:jc w:val="both"/>
              <w:rPr>
                <w:rFonts w:asciiTheme="majorHAnsi" w:hAnsiTheme="majorHAnsi" w:cstheme="majorHAnsi"/>
                <w:szCs w:val="18"/>
                <w:lang w:val="en-US"/>
              </w:rPr>
            </w:pPr>
            <w:r w:rsidRPr="006567A8">
              <w:rPr>
                <w:rFonts w:asciiTheme="majorHAnsi" w:hAnsiTheme="majorHAnsi" w:cstheme="majorHAnsi"/>
                <w:szCs w:val="18"/>
                <w:lang w:val="en-US"/>
              </w:rPr>
              <w:t xml:space="preserve">The Group and the Company disclosed balance of trade accounts receivable in Notes </w:t>
            </w:r>
            <w:r w:rsidR="00507D85">
              <w:rPr>
                <w:rFonts w:asciiTheme="majorHAnsi" w:hAnsiTheme="majorHAnsi" w:cstheme="majorHAnsi"/>
                <w:szCs w:val="18"/>
                <w:lang w:val="en-US"/>
              </w:rPr>
              <w:t>8</w:t>
            </w:r>
            <w:r w:rsidRPr="006567A8">
              <w:rPr>
                <w:rFonts w:asciiTheme="majorHAnsi" w:hAnsiTheme="majorHAnsi" w:cstheme="majorHAnsi"/>
                <w:szCs w:val="18"/>
                <w:lang w:val="en-US"/>
              </w:rPr>
              <w:t xml:space="preserve"> and </w:t>
            </w:r>
            <w:r w:rsidR="00507D85">
              <w:rPr>
                <w:rFonts w:asciiTheme="majorHAnsi" w:hAnsiTheme="majorHAnsi" w:cstheme="majorHAnsi"/>
                <w:szCs w:val="18"/>
                <w:lang w:val="en-US"/>
              </w:rPr>
              <w:t>9</w:t>
            </w:r>
            <w:r w:rsidRPr="006567A8">
              <w:rPr>
                <w:rFonts w:asciiTheme="majorHAnsi" w:hAnsiTheme="majorHAnsi" w:cstheme="majorHAnsi"/>
                <w:szCs w:val="18"/>
                <w:lang w:val="en-US"/>
              </w:rPr>
              <w:t xml:space="preserve"> to financial statements. </w:t>
            </w:r>
            <w:r w:rsidRPr="006567A8">
              <w:rPr>
                <w:rFonts w:asciiTheme="majorHAnsi" w:hAnsiTheme="majorHAnsi" w:cstheme="majorHAnsi"/>
                <w:szCs w:val="18"/>
                <w:rtl/>
                <w:cs/>
              </w:rPr>
              <w:t xml:space="preserve"> </w:t>
            </w:r>
          </w:p>
          <w:p w14:paraId="02942EDF" w14:textId="77777777" w:rsidR="00EF1EAF" w:rsidRPr="006567A8" w:rsidRDefault="00EF1EAF" w:rsidP="005902DA">
            <w:pPr>
              <w:tabs>
                <w:tab w:val="left" w:pos="0"/>
              </w:tabs>
              <w:spacing w:line="360" w:lineRule="auto"/>
              <w:jc w:val="thaiDistribute"/>
              <w:rPr>
                <w:rFonts w:asciiTheme="majorHAnsi" w:hAnsiTheme="majorHAnsi" w:cstheme="majorHAnsi"/>
                <w:szCs w:val="18"/>
                <w:lang w:val="en-US"/>
              </w:rPr>
            </w:pPr>
          </w:p>
          <w:p w14:paraId="5D5C40DB" w14:textId="77777777" w:rsidR="00EF1EAF" w:rsidRPr="006567A8" w:rsidRDefault="00EF1EAF" w:rsidP="005902DA">
            <w:pPr>
              <w:tabs>
                <w:tab w:val="left" w:pos="0"/>
              </w:tabs>
              <w:spacing w:line="360" w:lineRule="auto"/>
              <w:jc w:val="thaiDistribute"/>
              <w:rPr>
                <w:rFonts w:asciiTheme="majorHAnsi" w:hAnsiTheme="majorHAnsi" w:cstheme="majorHAnsi"/>
                <w:szCs w:val="18"/>
                <w:lang w:val="en-US"/>
              </w:rPr>
            </w:pPr>
          </w:p>
        </w:tc>
        <w:tc>
          <w:tcPr>
            <w:tcW w:w="4253" w:type="dxa"/>
            <w:tcBorders>
              <w:top w:val="single" w:sz="4" w:space="0" w:color="auto"/>
              <w:bottom w:val="single" w:sz="4" w:space="0" w:color="auto"/>
            </w:tcBorders>
            <w:shd w:val="clear" w:color="auto" w:fill="auto"/>
          </w:tcPr>
          <w:p w14:paraId="3730E854"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6A4D9F07" w14:textId="77777777" w:rsidR="00EF1EAF" w:rsidRPr="0032246D" w:rsidRDefault="00EF1EAF" w:rsidP="005902DA">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3EDAB871"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67E2AC47" w14:textId="20E4CC33" w:rsidR="00EF1EAF" w:rsidRPr="0032246D" w:rsidRDefault="00EF1EAF" w:rsidP="00EF1EAF">
            <w:pPr>
              <w:pStyle w:val="ListParagraph"/>
              <w:numPr>
                <w:ilvl w:val="0"/>
                <w:numId w:val="38"/>
              </w:numPr>
              <w:tabs>
                <w:tab w:val="left" w:pos="316"/>
              </w:tabs>
              <w:spacing w:after="0" w:line="360" w:lineRule="auto"/>
              <w:ind w:left="226" w:hanging="226"/>
              <w:jc w:val="thaiDistribute"/>
              <w:rPr>
                <w:rFonts w:asciiTheme="majorHAnsi" w:hAnsiTheme="majorHAnsi" w:cstheme="majorHAnsi"/>
                <w:szCs w:val="18"/>
                <w:lang w:val="en-US"/>
              </w:rPr>
            </w:pPr>
            <w:r w:rsidRPr="0032246D">
              <w:rPr>
                <w:rFonts w:asciiTheme="majorHAnsi" w:hAnsiTheme="majorHAnsi" w:cstheme="majorHAnsi"/>
                <w:szCs w:val="18"/>
                <w:lang w:val="en-US"/>
              </w:rPr>
              <w:t>Obtained an understanding of the internal controls and procedures for impairment testing for trade accounts receivable to determine the appropriateness of management estimates</w:t>
            </w:r>
            <w:r w:rsidR="00A77FB9">
              <w:rPr>
                <w:rFonts w:asciiTheme="majorHAnsi" w:hAnsiTheme="majorHAnsi" w:cstheme="majorHAnsi"/>
                <w:szCs w:val="18"/>
                <w:lang w:val="en-US"/>
              </w:rPr>
              <w:t>.</w:t>
            </w:r>
          </w:p>
          <w:p w14:paraId="7DF808D7" w14:textId="047A7402" w:rsidR="00EF1EAF" w:rsidRPr="007568DA" w:rsidRDefault="00EF1EAF" w:rsidP="00EF1EAF">
            <w:pPr>
              <w:pStyle w:val="ListParagraph"/>
              <w:numPr>
                <w:ilvl w:val="0"/>
                <w:numId w:val="38"/>
              </w:numPr>
              <w:tabs>
                <w:tab w:val="left" w:pos="316"/>
              </w:tabs>
              <w:spacing w:after="0" w:line="360" w:lineRule="auto"/>
              <w:ind w:left="226" w:hanging="226"/>
              <w:jc w:val="thaiDistribute"/>
              <w:rPr>
                <w:rFonts w:asciiTheme="majorHAnsi" w:hAnsiTheme="majorHAnsi" w:cstheme="majorHAnsi"/>
                <w:spacing w:val="-4"/>
                <w:szCs w:val="18"/>
                <w:lang w:val="en-US"/>
              </w:rPr>
            </w:pPr>
            <w:r w:rsidRPr="007568DA">
              <w:rPr>
                <w:rFonts w:asciiTheme="majorHAnsi" w:hAnsiTheme="majorHAnsi" w:cstheme="majorHAnsi"/>
                <w:spacing w:val="-4"/>
                <w:szCs w:val="18"/>
                <w:lang w:val="en-US"/>
              </w:rPr>
              <w:t>Reviewed the periods of receivables that have been long outstanding and developed allowance for doubtful accounts based on the circumstances for comparison with the allowance for doubtful accounts recognized by the Group and the Company. Considered the reason for the differences and the appropriateness of allowance for doubtful accounts</w:t>
            </w:r>
            <w:r w:rsidR="00A77FB9">
              <w:rPr>
                <w:rFonts w:asciiTheme="majorHAnsi" w:hAnsiTheme="majorHAnsi" w:cstheme="majorHAnsi"/>
                <w:spacing w:val="-4"/>
                <w:szCs w:val="18"/>
                <w:lang w:val="en-US"/>
              </w:rPr>
              <w:t>.</w:t>
            </w:r>
            <w:r w:rsidRPr="007568DA">
              <w:rPr>
                <w:rFonts w:asciiTheme="majorHAnsi" w:hAnsiTheme="majorHAnsi" w:cstheme="majorHAnsi"/>
                <w:spacing w:val="-4"/>
                <w:szCs w:val="18"/>
                <w:rtl/>
                <w:cs/>
              </w:rPr>
              <w:t xml:space="preserve"> </w:t>
            </w:r>
          </w:p>
          <w:p w14:paraId="2F781346" w14:textId="68C11C08" w:rsidR="00EF1EAF" w:rsidRPr="007568DA" w:rsidRDefault="00EF1EAF" w:rsidP="00EF1EAF">
            <w:pPr>
              <w:pStyle w:val="ListParagraph"/>
              <w:numPr>
                <w:ilvl w:val="0"/>
                <w:numId w:val="38"/>
              </w:numPr>
              <w:tabs>
                <w:tab w:val="left" w:pos="316"/>
              </w:tabs>
              <w:spacing w:after="0" w:line="360" w:lineRule="auto"/>
              <w:ind w:left="226" w:hanging="226"/>
              <w:jc w:val="thaiDistribute"/>
              <w:rPr>
                <w:rFonts w:asciiTheme="majorHAnsi" w:hAnsiTheme="majorHAnsi" w:cstheme="majorHAnsi"/>
                <w:spacing w:val="-2"/>
                <w:szCs w:val="18"/>
                <w:lang w:val="en-US"/>
              </w:rPr>
            </w:pPr>
            <w:r w:rsidRPr="007568DA">
              <w:rPr>
                <w:rFonts w:asciiTheme="majorHAnsi" w:hAnsiTheme="majorHAnsi" w:cstheme="majorHAnsi"/>
                <w:spacing w:val="-2"/>
                <w:szCs w:val="18"/>
                <w:lang w:val="en-US"/>
              </w:rPr>
              <w:t>Assessed the net realizable values of receivables including subsequent collection testing together with the assessment of the cash flows projection of debtors to assess their ability to settle their accounts in the future</w:t>
            </w:r>
            <w:r w:rsidR="00A77FB9">
              <w:rPr>
                <w:rFonts w:asciiTheme="majorHAnsi" w:hAnsiTheme="majorHAnsi" w:cstheme="majorHAnsi"/>
                <w:spacing w:val="-2"/>
                <w:szCs w:val="18"/>
                <w:lang w:val="en-US"/>
              </w:rPr>
              <w:t>.</w:t>
            </w:r>
          </w:p>
          <w:p w14:paraId="7BBBC2A2" w14:textId="61A7B2B1" w:rsidR="0032246D" w:rsidRPr="000E5048" w:rsidRDefault="00EF1EAF" w:rsidP="000E5048">
            <w:pPr>
              <w:pStyle w:val="ListParagraph"/>
              <w:numPr>
                <w:ilvl w:val="0"/>
                <w:numId w:val="38"/>
              </w:numPr>
              <w:tabs>
                <w:tab w:val="left" w:pos="316"/>
              </w:tabs>
              <w:spacing w:after="0" w:line="360" w:lineRule="auto"/>
              <w:ind w:left="226" w:hanging="226"/>
              <w:jc w:val="both"/>
              <w:rPr>
                <w:rFonts w:asciiTheme="majorHAnsi" w:hAnsiTheme="majorHAnsi" w:cstheme="majorHAnsi"/>
                <w:spacing w:val="-6"/>
                <w:szCs w:val="18"/>
                <w:lang w:val="en-US"/>
              </w:rPr>
            </w:pPr>
            <w:r w:rsidRPr="007568DA">
              <w:rPr>
                <w:rFonts w:asciiTheme="majorHAnsi" w:hAnsiTheme="majorHAnsi" w:cstheme="majorHAnsi"/>
                <w:spacing w:val="-6"/>
                <w:szCs w:val="18"/>
                <w:lang w:val="en-US"/>
              </w:rPr>
              <w:t>Assessed the adequacy of the Group’s and the Company’s disclosure for trade accounts</w:t>
            </w:r>
            <w:r w:rsidR="007568DA" w:rsidRPr="007568DA">
              <w:rPr>
                <w:rFonts w:asciiTheme="majorHAnsi" w:hAnsiTheme="majorHAnsi" w:cstheme="majorHAnsi"/>
                <w:spacing w:val="-6"/>
                <w:szCs w:val="18"/>
                <w:lang w:val="en-US"/>
              </w:rPr>
              <w:t xml:space="preserve"> </w:t>
            </w:r>
            <w:r w:rsidRPr="007568DA">
              <w:rPr>
                <w:rFonts w:asciiTheme="majorHAnsi" w:hAnsiTheme="majorHAnsi" w:cstheme="majorHAnsi"/>
                <w:spacing w:val="-6"/>
                <w:szCs w:val="18"/>
                <w:lang w:val="en-US"/>
              </w:rPr>
              <w:t>receivable and allowance for doubtful accounts</w:t>
            </w:r>
            <w:r w:rsidR="000E5048">
              <w:rPr>
                <w:rFonts w:asciiTheme="majorHAnsi" w:hAnsiTheme="majorHAnsi" w:cstheme="majorHAnsi"/>
                <w:spacing w:val="-6"/>
                <w:szCs w:val="18"/>
                <w:lang w:val="en-US"/>
              </w:rPr>
              <w:t>.</w:t>
            </w:r>
          </w:p>
          <w:p w14:paraId="3E49CD87" w14:textId="61DFE59B" w:rsidR="007568DA" w:rsidRDefault="007568DA" w:rsidP="005902DA">
            <w:pPr>
              <w:tabs>
                <w:tab w:val="left" w:pos="316"/>
              </w:tabs>
              <w:spacing w:line="360" w:lineRule="auto"/>
              <w:contextualSpacing/>
              <w:jc w:val="thaiDistribute"/>
              <w:rPr>
                <w:rFonts w:asciiTheme="majorHAnsi" w:hAnsiTheme="majorHAnsi" w:cstheme="majorHAnsi"/>
                <w:szCs w:val="18"/>
                <w:lang w:val="en-US"/>
              </w:rPr>
            </w:pPr>
          </w:p>
          <w:p w14:paraId="3145B48B" w14:textId="77777777" w:rsidR="0032246D" w:rsidRDefault="0032246D" w:rsidP="009A7F4D">
            <w:pPr>
              <w:tabs>
                <w:tab w:val="left" w:pos="316"/>
              </w:tabs>
              <w:spacing w:line="360" w:lineRule="auto"/>
              <w:contextualSpacing/>
              <w:jc w:val="thaiDistribute"/>
              <w:rPr>
                <w:rFonts w:asciiTheme="majorHAnsi" w:hAnsiTheme="majorHAnsi" w:cstheme="majorHAnsi"/>
                <w:szCs w:val="18"/>
                <w:lang w:val="en-US"/>
              </w:rPr>
            </w:pPr>
          </w:p>
          <w:p w14:paraId="658958C7" w14:textId="77777777" w:rsidR="00F0514C" w:rsidRDefault="00F0514C" w:rsidP="009A7F4D">
            <w:pPr>
              <w:tabs>
                <w:tab w:val="left" w:pos="316"/>
              </w:tabs>
              <w:spacing w:line="360" w:lineRule="auto"/>
              <w:contextualSpacing/>
              <w:jc w:val="thaiDistribute"/>
              <w:rPr>
                <w:rFonts w:asciiTheme="majorHAnsi" w:hAnsiTheme="majorHAnsi" w:cstheme="majorHAnsi"/>
                <w:szCs w:val="18"/>
                <w:lang w:val="en-US"/>
              </w:rPr>
            </w:pPr>
          </w:p>
          <w:p w14:paraId="18A01EBB" w14:textId="77777777" w:rsidR="00F0514C" w:rsidRDefault="00F0514C" w:rsidP="009A7F4D">
            <w:pPr>
              <w:tabs>
                <w:tab w:val="left" w:pos="316"/>
              </w:tabs>
              <w:spacing w:line="360" w:lineRule="auto"/>
              <w:contextualSpacing/>
              <w:jc w:val="thaiDistribute"/>
              <w:rPr>
                <w:rFonts w:asciiTheme="majorHAnsi" w:hAnsiTheme="majorHAnsi" w:cstheme="majorHAnsi"/>
                <w:szCs w:val="18"/>
                <w:lang w:val="en-US"/>
              </w:rPr>
            </w:pPr>
          </w:p>
          <w:p w14:paraId="722FD155" w14:textId="77777777" w:rsidR="00F0514C" w:rsidRDefault="00F0514C" w:rsidP="009A7F4D">
            <w:pPr>
              <w:tabs>
                <w:tab w:val="left" w:pos="316"/>
              </w:tabs>
              <w:spacing w:line="360" w:lineRule="auto"/>
              <w:contextualSpacing/>
              <w:jc w:val="thaiDistribute"/>
              <w:rPr>
                <w:rFonts w:asciiTheme="majorHAnsi" w:hAnsiTheme="majorHAnsi" w:cstheme="majorHAnsi"/>
                <w:szCs w:val="18"/>
                <w:lang w:val="en-US"/>
              </w:rPr>
            </w:pPr>
          </w:p>
          <w:p w14:paraId="305E86C4" w14:textId="51C79F1C" w:rsidR="00F0514C" w:rsidRPr="0032246D" w:rsidRDefault="00F0514C" w:rsidP="009A7F4D">
            <w:pPr>
              <w:tabs>
                <w:tab w:val="left" w:pos="316"/>
              </w:tabs>
              <w:spacing w:line="360" w:lineRule="auto"/>
              <w:contextualSpacing/>
              <w:jc w:val="thaiDistribute"/>
              <w:rPr>
                <w:rFonts w:asciiTheme="majorHAnsi" w:hAnsiTheme="majorHAnsi" w:cstheme="majorHAnsi"/>
                <w:szCs w:val="18"/>
                <w:lang w:val="en-US"/>
              </w:rPr>
            </w:pPr>
          </w:p>
        </w:tc>
      </w:tr>
      <w:tr w:rsidR="00EF1EAF" w:rsidRPr="0032246D" w14:paraId="54E5CB26" w14:textId="77777777" w:rsidTr="00723550">
        <w:tc>
          <w:tcPr>
            <w:tcW w:w="4106" w:type="dxa"/>
            <w:tcBorders>
              <w:top w:val="single" w:sz="4" w:space="0" w:color="auto"/>
              <w:bottom w:val="single" w:sz="4" w:space="0" w:color="auto"/>
            </w:tcBorders>
            <w:shd w:val="clear" w:color="auto" w:fill="auto"/>
          </w:tcPr>
          <w:p w14:paraId="4BC36B56" w14:textId="77777777" w:rsidR="00723550" w:rsidRDefault="00723550" w:rsidP="0032246D">
            <w:pPr>
              <w:tabs>
                <w:tab w:val="left" w:pos="450"/>
                <w:tab w:val="left" w:pos="540"/>
              </w:tabs>
              <w:spacing w:line="360" w:lineRule="auto"/>
              <w:jc w:val="thaiDistribute"/>
              <w:rPr>
                <w:rFonts w:asciiTheme="majorHAnsi" w:hAnsiTheme="majorHAnsi" w:cstheme="majorHAnsi"/>
                <w:szCs w:val="18"/>
                <w:u w:val="single"/>
              </w:rPr>
            </w:pPr>
            <w:bookmarkStart w:id="1" w:name="_Hlk2182665"/>
          </w:p>
          <w:p w14:paraId="59BF3801" w14:textId="77777777" w:rsidR="00723550" w:rsidRPr="0032246D" w:rsidRDefault="00723550" w:rsidP="00723550">
            <w:pPr>
              <w:autoSpaceDE w:val="0"/>
              <w:autoSpaceDN w:val="0"/>
              <w:adjustRightInd w:val="0"/>
              <w:spacing w:line="360" w:lineRule="auto"/>
              <w:jc w:val="both"/>
              <w:rPr>
                <w:rFonts w:asciiTheme="majorHAnsi" w:hAnsiTheme="majorHAnsi" w:cstheme="majorHAnsi"/>
                <w:b/>
                <w:bCs/>
                <w:szCs w:val="18"/>
                <w:rtl/>
                <w:cs/>
                <w:lang w:val="en-US"/>
              </w:rPr>
            </w:pPr>
            <w:r w:rsidRPr="0032246D">
              <w:rPr>
                <w:rFonts w:asciiTheme="majorHAnsi" w:hAnsiTheme="majorHAnsi" w:cstheme="majorHAnsi"/>
                <w:b/>
                <w:bCs/>
                <w:szCs w:val="18"/>
                <w:lang w:val="en-US"/>
              </w:rPr>
              <w:t>Impairment of investment in subsidiaries and goodwill</w:t>
            </w:r>
          </w:p>
          <w:p w14:paraId="17D45CB3" w14:textId="77777777" w:rsidR="00723550" w:rsidRPr="0032246D" w:rsidRDefault="00723550" w:rsidP="00723550">
            <w:pPr>
              <w:autoSpaceDE w:val="0"/>
              <w:autoSpaceDN w:val="0"/>
              <w:spacing w:after="0" w:line="360" w:lineRule="auto"/>
              <w:ind w:left="258"/>
              <w:jc w:val="thaiDistribute"/>
              <w:rPr>
                <w:rFonts w:asciiTheme="majorHAnsi" w:hAnsiTheme="majorHAnsi" w:cstheme="majorHAnsi"/>
                <w:i/>
                <w:iCs/>
                <w:szCs w:val="18"/>
                <w:u w:val="single"/>
                <w:rtl/>
                <w:cs/>
              </w:rPr>
            </w:pPr>
          </w:p>
          <w:p w14:paraId="48F50CCD" w14:textId="77777777" w:rsidR="00723550" w:rsidRDefault="00723550" w:rsidP="00723550">
            <w:pPr>
              <w:tabs>
                <w:tab w:val="left" w:pos="450"/>
                <w:tab w:val="left" w:pos="540"/>
              </w:tabs>
              <w:spacing w:line="360" w:lineRule="auto"/>
              <w:jc w:val="thaiDistribute"/>
              <w:rPr>
                <w:rFonts w:asciiTheme="majorHAnsi" w:hAnsiTheme="majorHAnsi" w:cstheme="majorHAnsi"/>
                <w:spacing w:val="-4"/>
                <w:szCs w:val="18"/>
                <w:lang w:val="en-US"/>
              </w:rPr>
            </w:pPr>
            <w:r w:rsidRPr="007568DA">
              <w:rPr>
                <w:rFonts w:asciiTheme="majorHAnsi" w:hAnsiTheme="majorHAnsi" w:cstheme="majorHAnsi"/>
                <w:spacing w:val="-4"/>
                <w:szCs w:val="18"/>
                <w:lang w:val="en-US"/>
              </w:rPr>
              <w:t>The Company has investments in subsidiaries</w:t>
            </w:r>
            <w:r>
              <w:rPr>
                <w:rFonts w:asciiTheme="majorHAnsi" w:hAnsiTheme="majorHAnsi" w:cstheme="majorHAnsi"/>
                <w:spacing w:val="-4"/>
                <w:szCs w:val="18"/>
                <w:lang w:val="en-US"/>
              </w:rPr>
              <w:t xml:space="preserve"> (net of allowance for impairment of investment)</w:t>
            </w:r>
            <w:r w:rsidRPr="007568DA">
              <w:rPr>
                <w:rFonts w:asciiTheme="majorHAnsi" w:hAnsiTheme="majorHAnsi" w:cstheme="majorHAnsi"/>
                <w:spacing w:val="-4"/>
                <w:szCs w:val="18"/>
                <w:lang w:val="en-US"/>
              </w:rPr>
              <w:t xml:space="preserve"> of Baht </w:t>
            </w:r>
            <w:r>
              <w:rPr>
                <w:rFonts w:asciiTheme="majorHAnsi" w:hAnsiTheme="majorHAnsi" w:cstheme="majorHAnsi"/>
                <w:spacing w:val="-4"/>
                <w:szCs w:val="18"/>
                <w:lang w:val="en-US"/>
              </w:rPr>
              <w:t>7,226.95</w:t>
            </w:r>
            <w:r w:rsidRPr="007568DA">
              <w:rPr>
                <w:rFonts w:asciiTheme="majorHAnsi" w:hAnsiTheme="majorHAnsi" w:cstheme="majorHAnsi"/>
                <w:spacing w:val="-4"/>
                <w:szCs w:val="18"/>
                <w:lang w:val="en-US"/>
              </w:rPr>
              <w:t xml:space="preserve"> million. In consideration of allowance</w:t>
            </w:r>
            <w:r>
              <w:rPr>
                <w:rFonts w:asciiTheme="majorHAnsi" w:hAnsiTheme="majorHAnsi" w:cstheme="majorHAnsi"/>
                <w:spacing w:val="-4"/>
                <w:szCs w:val="18"/>
                <w:lang w:val="en-US"/>
              </w:rPr>
              <w:t>s</w:t>
            </w:r>
            <w:r w:rsidRPr="007568DA">
              <w:rPr>
                <w:rFonts w:asciiTheme="majorHAnsi" w:hAnsiTheme="majorHAnsi" w:cstheme="majorHAnsi"/>
                <w:spacing w:val="-4"/>
                <w:szCs w:val="18"/>
                <w:lang w:val="en-US"/>
              </w:rPr>
              <w:t xml:space="preserve"> for impairment of investment</w:t>
            </w:r>
            <w:r>
              <w:rPr>
                <w:rFonts w:asciiTheme="majorHAnsi" w:hAnsiTheme="majorHAnsi" w:cstheme="majorHAnsi"/>
                <w:spacing w:val="-4"/>
                <w:szCs w:val="18"/>
                <w:lang w:val="en-US"/>
              </w:rPr>
              <w:t>s</w:t>
            </w:r>
            <w:r w:rsidRPr="007568DA">
              <w:rPr>
                <w:rFonts w:asciiTheme="majorHAnsi" w:hAnsiTheme="majorHAnsi" w:cstheme="majorHAnsi"/>
                <w:spacing w:val="-4"/>
                <w:szCs w:val="18"/>
                <w:lang w:val="en-US"/>
              </w:rPr>
              <w:t>, management is required to use judgement for the assessment of appropriate estimates and significant assumptions relating to the subsidiaries’ ability to operate profitably, their cash flows and discount rates used for the calculation of net realizable values.</w:t>
            </w:r>
          </w:p>
          <w:p w14:paraId="7BF90323" w14:textId="77777777" w:rsidR="00723550" w:rsidRPr="007568DA" w:rsidRDefault="00723550" w:rsidP="00723550">
            <w:pPr>
              <w:autoSpaceDE w:val="0"/>
              <w:autoSpaceDN w:val="0"/>
              <w:spacing w:after="0" w:line="360" w:lineRule="auto"/>
              <w:ind w:left="258"/>
              <w:jc w:val="thaiDistribute"/>
              <w:rPr>
                <w:rFonts w:asciiTheme="majorHAnsi" w:hAnsiTheme="majorHAnsi" w:cstheme="majorHAnsi"/>
                <w:spacing w:val="-4"/>
                <w:szCs w:val="18"/>
                <w:lang w:val="en-US"/>
              </w:rPr>
            </w:pPr>
          </w:p>
          <w:p w14:paraId="1AFA60C9" w14:textId="77777777" w:rsidR="00723550" w:rsidRPr="0032246D" w:rsidRDefault="00723550" w:rsidP="00723550">
            <w:pPr>
              <w:tabs>
                <w:tab w:val="left" w:pos="450"/>
                <w:tab w:val="left" w:pos="540"/>
              </w:tabs>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The Company disclosed detail of investment in subsidiaries in</w:t>
            </w:r>
            <w:r w:rsidRPr="0032246D">
              <w:rPr>
                <w:rFonts w:asciiTheme="majorHAnsi" w:hAnsiTheme="majorHAnsi" w:cstheme="majorHAnsi"/>
                <w:szCs w:val="18"/>
              </w:rPr>
              <w:t xml:space="preserve"> N</w:t>
            </w:r>
            <w:proofErr w:type="spellStart"/>
            <w:r w:rsidRPr="0032246D">
              <w:rPr>
                <w:rFonts w:asciiTheme="majorHAnsi" w:hAnsiTheme="majorHAnsi" w:cstheme="majorHAnsi"/>
                <w:szCs w:val="18"/>
                <w:lang w:val="en-US"/>
              </w:rPr>
              <w:t>ote</w:t>
            </w:r>
            <w:proofErr w:type="spellEnd"/>
            <w:r w:rsidRPr="0032246D">
              <w:rPr>
                <w:rFonts w:asciiTheme="majorHAnsi" w:hAnsiTheme="majorHAnsi" w:cstheme="majorHAnsi"/>
                <w:szCs w:val="18"/>
                <w:lang w:val="en-US"/>
              </w:rPr>
              <w:t xml:space="preserve"> </w:t>
            </w:r>
            <w:r w:rsidRPr="00A2405C">
              <w:rPr>
                <w:rFonts w:asciiTheme="majorHAnsi" w:hAnsiTheme="majorHAnsi" w:cstheme="majorHAnsi"/>
                <w:szCs w:val="18"/>
                <w:lang w:val="en-US"/>
              </w:rPr>
              <w:t>15</w:t>
            </w:r>
            <w:r w:rsidRPr="0032246D">
              <w:rPr>
                <w:rFonts w:asciiTheme="majorHAnsi" w:hAnsiTheme="majorHAnsi" w:cstheme="majorHAnsi"/>
                <w:szCs w:val="18"/>
                <w:lang w:val="en-US"/>
              </w:rPr>
              <w:t xml:space="preserve"> to financial statements. </w:t>
            </w:r>
            <w:r w:rsidRPr="0032246D">
              <w:rPr>
                <w:rFonts w:asciiTheme="majorHAnsi" w:hAnsiTheme="majorHAnsi" w:cstheme="majorHAnsi"/>
                <w:szCs w:val="18"/>
                <w:rtl/>
                <w:cs/>
              </w:rPr>
              <w:t xml:space="preserve"> </w:t>
            </w:r>
          </w:p>
          <w:p w14:paraId="125FB74B" w14:textId="77777777" w:rsidR="00723550" w:rsidRPr="0032246D" w:rsidRDefault="00723550" w:rsidP="00723550">
            <w:pPr>
              <w:autoSpaceDE w:val="0"/>
              <w:autoSpaceDN w:val="0"/>
              <w:spacing w:after="0" w:line="360" w:lineRule="auto"/>
              <w:ind w:left="258"/>
              <w:jc w:val="thaiDistribute"/>
              <w:rPr>
                <w:rFonts w:asciiTheme="majorHAnsi" w:hAnsiTheme="majorHAnsi" w:cstheme="majorHAnsi"/>
                <w:szCs w:val="18"/>
                <w:u w:val="single"/>
                <w:lang w:val="en-US"/>
              </w:rPr>
            </w:pPr>
          </w:p>
          <w:p w14:paraId="7D077B87" w14:textId="77777777" w:rsidR="00723550" w:rsidRPr="0032246D" w:rsidRDefault="00723550" w:rsidP="00723550">
            <w:pPr>
              <w:tabs>
                <w:tab w:val="left" w:pos="450"/>
                <w:tab w:val="left" w:pos="540"/>
              </w:tabs>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The Company has goodwill of Baht</w:t>
            </w:r>
            <w:r>
              <w:rPr>
                <w:rFonts w:asciiTheme="majorHAnsi" w:hAnsiTheme="majorHAnsi" w:cstheme="majorHAnsi"/>
                <w:szCs w:val="18"/>
                <w:lang w:val="en-US"/>
              </w:rPr>
              <w:t xml:space="preserve"> 863.57</w:t>
            </w:r>
            <w:r w:rsidRPr="0032246D">
              <w:rPr>
                <w:rFonts w:asciiTheme="majorHAnsi" w:hAnsiTheme="majorHAnsi" w:cstheme="majorHAnsi"/>
                <w:szCs w:val="18"/>
                <w:lang w:val="en-US"/>
              </w:rPr>
              <w:t xml:space="preserve"> million as at 31 December 201</w:t>
            </w:r>
            <w:r>
              <w:rPr>
                <w:rFonts w:asciiTheme="majorHAnsi" w:hAnsiTheme="majorHAnsi" w:cstheme="majorHAnsi"/>
                <w:szCs w:val="18"/>
                <w:lang w:val="en-US"/>
              </w:rPr>
              <w:t>8</w:t>
            </w:r>
            <w:r w:rsidRPr="0032246D">
              <w:rPr>
                <w:rFonts w:asciiTheme="majorHAnsi" w:hAnsiTheme="majorHAnsi" w:cstheme="majorHAnsi"/>
                <w:szCs w:val="18"/>
                <w:lang w:val="en-US"/>
              </w:rPr>
              <w:t xml:space="preserve"> which arose from the acquisition of investments in Potash mining, cement business in Thailand and construction business in India. According to Thai Financial Reporting Standard, the Company has to annually test impairment of goodwill. Goodwill impairment requires management to make significant judgement, which is complicate, and use of assumptions about cash flows projection and expenses from the continuing operations of such business units and the use of the appropriate discount rate to discount cash flows projection. </w:t>
            </w:r>
          </w:p>
          <w:p w14:paraId="231AEE98" w14:textId="77777777" w:rsidR="00723550" w:rsidRPr="0032246D" w:rsidRDefault="00723550" w:rsidP="00723550">
            <w:pPr>
              <w:autoSpaceDE w:val="0"/>
              <w:autoSpaceDN w:val="0"/>
              <w:spacing w:after="0" w:line="360" w:lineRule="auto"/>
              <w:ind w:left="258"/>
              <w:jc w:val="thaiDistribute"/>
              <w:rPr>
                <w:rFonts w:asciiTheme="majorHAnsi" w:hAnsiTheme="majorHAnsi" w:cstheme="majorHAnsi"/>
                <w:szCs w:val="18"/>
                <w:u w:val="single"/>
                <w:lang w:val="en-US"/>
              </w:rPr>
            </w:pPr>
            <w:r w:rsidRPr="0032246D">
              <w:rPr>
                <w:rFonts w:asciiTheme="majorHAnsi" w:hAnsiTheme="majorHAnsi" w:cstheme="majorHAnsi"/>
                <w:szCs w:val="18"/>
                <w:lang w:val="en-US"/>
              </w:rPr>
              <w:t xml:space="preserve"> </w:t>
            </w:r>
          </w:p>
          <w:p w14:paraId="5B3FFD22" w14:textId="77777777" w:rsidR="00723550" w:rsidRPr="0032246D" w:rsidRDefault="00723550" w:rsidP="00723550">
            <w:pPr>
              <w:tabs>
                <w:tab w:val="left" w:pos="450"/>
                <w:tab w:val="left" w:pos="540"/>
              </w:tabs>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The Group disclosed information of goodwill in Note</w:t>
            </w:r>
            <w:r>
              <w:rPr>
                <w:rFonts w:asciiTheme="majorHAnsi" w:hAnsiTheme="majorHAnsi" w:cstheme="majorHAnsi"/>
                <w:szCs w:val="18"/>
                <w:lang w:val="en-US"/>
              </w:rPr>
              <w:t xml:space="preserve"> 24</w:t>
            </w:r>
            <w:r w:rsidRPr="0032246D">
              <w:rPr>
                <w:rFonts w:asciiTheme="majorHAnsi" w:hAnsiTheme="majorHAnsi" w:cstheme="majorHAnsi"/>
                <w:szCs w:val="18"/>
                <w:lang w:val="en-US"/>
              </w:rPr>
              <w:t xml:space="preserve"> to financial statements. </w:t>
            </w:r>
            <w:r w:rsidRPr="0032246D">
              <w:rPr>
                <w:rFonts w:asciiTheme="majorHAnsi" w:hAnsiTheme="majorHAnsi" w:cstheme="majorHAnsi"/>
                <w:szCs w:val="18"/>
                <w:rtl/>
                <w:cs/>
              </w:rPr>
              <w:t xml:space="preserve"> </w:t>
            </w:r>
          </w:p>
          <w:p w14:paraId="5BFFADA5" w14:textId="70AA00BC" w:rsidR="00723550" w:rsidRDefault="00723550" w:rsidP="0032246D">
            <w:pPr>
              <w:tabs>
                <w:tab w:val="left" w:pos="450"/>
                <w:tab w:val="left" w:pos="540"/>
              </w:tabs>
              <w:spacing w:line="360" w:lineRule="auto"/>
              <w:jc w:val="thaiDistribute"/>
              <w:rPr>
                <w:rFonts w:asciiTheme="majorHAnsi" w:hAnsiTheme="majorHAnsi" w:cstheme="majorHAnsi"/>
                <w:szCs w:val="18"/>
                <w:u w:val="single"/>
              </w:rPr>
            </w:pPr>
          </w:p>
          <w:p w14:paraId="44EB1545" w14:textId="77777777" w:rsidR="00723550" w:rsidRDefault="00723550" w:rsidP="0032246D">
            <w:pPr>
              <w:tabs>
                <w:tab w:val="left" w:pos="450"/>
                <w:tab w:val="left" w:pos="540"/>
              </w:tabs>
              <w:spacing w:line="360" w:lineRule="auto"/>
              <w:jc w:val="thaiDistribute"/>
              <w:rPr>
                <w:rFonts w:asciiTheme="majorHAnsi" w:hAnsiTheme="majorHAnsi" w:cstheme="majorHAnsi"/>
                <w:szCs w:val="18"/>
                <w:u w:val="single"/>
              </w:rPr>
            </w:pPr>
          </w:p>
          <w:p w14:paraId="297A6AAA" w14:textId="22F99617" w:rsidR="00723550" w:rsidRPr="0032246D" w:rsidRDefault="00723550" w:rsidP="0032246D">
            <w:pPr>
              <w:tabs>
                <w:tab w:val="left" w:pos="450"/>
                <w:tab w:val="left" w:pos="540"/>
              </w:tabs>
              <w:spacing w:line="360" w:lineRule="auto"/>
              <w:jc w:val="thaiDistribute"/>
              <w:rPr>
                <w:rFonts w:asciiTheme="majorHAnsi" w:hAnsiTheme="majorHAnsi" w:cstheme="majorHAnsi"/>
                <w:szCs w:val="18"/>
                <w:u w:val="single"/>
                <w:rtl/>
                <w:cs/>
              </w:rPr>
            </w:pPr>
          </w:p>
        </w:tc>
        <w:tc>
          <w:tcPr>
            <w:tcW w:w="4253" w:type="dxa"/>
            <w:tcBorders>
              <w:top w:val="single" w:sz="4" w:space="0" w:color="auto"/>
              <w:bottom w:val="single" w:sz="4" w:space="0" w:color="auto"/>
            </w:tcBorders>
            <w:shd w:val="clear" w:color="auto" w:fill="auto"/>
          </w:tcPr>
          <w:p w14:paraId="2A243DAA" w14:textId="77777777" w:rsidR="00723550" w:rsidRDefault="00723550" w:rsidP="00723550">
            <w:pPr>
              <w:autoSpaceDE w:val="0"/>
              <w:autoSpaceDN w:val="0"/>
              <w:spacing w:line="360" w:lineRule="auto"/>
              <w:jc w:val="thaiDistribute"/>
              <w:rPr>
                <w:rFonts w:asciiTheme="majorHAnsi" w:hAnsiTheme="majorHAnsi" w:cstheme="majorHAnsi"/>
                <w:szCs w:val="18"/>
                <w:lang w:val="en-US"/>
              </w:rPr>
            </w:pPr>
          </w:p>
          <w:p w14:paraId="44F8CFC4" w14:textId="1DCBAFCE" w:rsidR="00723550" w:rsidRPr="0032246D" w:rsidRDefault="00723550" w:rsidP="00723550">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184771D0" w14:textId="77777777" w:rsidR="00723550" w:rsidRDefault="00723550" w:rsidP="00723550">
            <w:pPr>
              <w:tabs>
                <w:tab w:val="left" w:pos="540"/>
              </w:tabs>
              <w:spacing w:line="360" w:lineRule="auto"/>
              <w:rPr>
                <w:rFonts w:asciiTheme="majorHAnsi" w:eastAsia="Cordia New" w:hAnsiTheme="majorHAnsi" w:cstheme="majorHAnsi"/>
                <w:sz w:val="10"/>
                <w:szCs w:val="10"/>
              </w:rPr>
            </w:pPr>
          </w:p>
          <w:p w14:paraId="07E609B7" w14:textId="77777777" w:rsidR="00723550" w:rsidRPr="0032246D" w:rsidRDefault="00723550" w:rsidP="00723550">
            <w:pPr>
              <w:tabs>
                <w:tab w:val="left" w:pos="540"/>
              </w:tabs>
              <w:spacing w:line="360" w:lineRule="auto"/>
              <w:rPr>
                <w:rFonts w:asciiTheme="majorHAnsi" w:eastAsia="Cordia New" w:hAnsiTheme="majorHAnsi" w:cstheme="majorHAnsi"/>
                <w:sz w:val="10"/>
                <w:szCs w:val="10"/>
              </w:rPr>
            </w:pPr>
          </w:p>
          <w:p w14:paraId="1F0F5A18" w14:textId="77777777" w:rsidR="00723550" w:rsidRPr="007568DA"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pacing w:val="-6"/>
                <w:szCs w:val="18"/>
                <w:lang w:val="en-US"/>
              </w:rPr>
            </w:pPr>
            <w:r w:rsidRPr="007568DA">
              <w:rPr>
                <w:rFonts w:asciiTheme="majorHAnsi" w:hAnsiTheme="majorHAnsi" w:cstheme="majorHAnsi"/>
                <w:color w:val="000000"/>
                <w:spacing w:val="-6"/>
                <w:szCs w:val="18"/>
                <w:lang w:val="en-US"/>
              </w:rPr>
              <w:t>Obtained an understanding of the process for assessment of recoverable amounts of investments</w:t>
            </w:r>
            <w:r w:rsidRPr="007568DA">
              <w:rPr>
                <w:rFonts w:asciiTheme="majorHAnsi" w:hAnsiTheme="majorHAnsi" w:cstheme="majorHAnsi"/>
                <w:color w:val="000000"/>
                <w:spacing w:val="-6"/>
                <w:szCs w:val="18"/>
                <w:rtl/>
                <w:cs/>
                <w:lang w:val="en-US"/>
              </w:rPr>
              <w:t xml:space="preserve"> </w:t>
            </w:r>
            <w:r w:rsidRPr="007568DA">
              <w:rPr>
                <w:rFonts w:asciiTheme="majorHAnsi" w:hAnsiTheme="majorHAnsi" w:cstheme="majorHAnsi"/>
                <w:color w:val="000000"/>
                <w:spacing w:val="-6"/>
                <w:szCs w:val="18"/>
                <w:lang w:val="en-US"/>
              </w:rPr>
              <w:t>in subsidiaries and group of business units</w:t>
            </w:r>
            <w:r>
              <w:rPr>
                <w:rFonts w:asciiTheme="majorHAnsi" w:hAnsiTheme="majorHAnsi" w:cstheme="majorHAnsi"/>
                <w:color w:val="000000"/>
                <w:spacing w:val="-6"/>
                <w:szCs w:val="18"/>
                <w:lang w:val="en-US"/>
              </w:rPr>
              <w:t>.</w:t>
            </w:r>
          </w:p>
          <w:p w14:paraId="2B000F6E" w14:textId="77777777" w:rsidR="00723550" w:rsidRPr="0032246D"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Considered the indication of impairment for investments in subsidiaries and goodwill of each business unit</w:t>
            </w:r>
            <w:r>
              <w:rPr>
                <w:rFonts w:asciiTheme="majorHAnsi" w:hAnsiTheme="majorHAnsi" w:cstheme="majorHAnsi"/>
                <w:color w:val="000000"/>
                <w:szCs w:val="18"/>
                <w:lang w:val="en-US"/>
              </w:rPr>
              <w:t>.</w:t>
            </w:r>
          </w:p>
          <w:p w14:paraId="3C5CB817" w14:textId="77777777" w:rsidR="00723550" w:rsidRPr="007568DA"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pacing w:val="-4"/>
                <w:szCs w:val="18"/>
                <w:lang w:val="en-US"/>
              </w:rPr>
            </w:pPr>
            <w:r w:rsidRPr="007568DA">
              <w:rPr>
                <w:rFonts w:asciiTheme="majorHAnsi" w:hAnsiTheme="majorHAnsi" w:cstheme="majorHAnsi"/>
                <w:color w:val="000000"/>
                <w:spacing w:val="-4"/>
                <w:szCs w:val="18"/>
                <w:lang w:val="en-US"/>
              </w:rPr>
              <w:t>Considered the reasonableness of management’s assumptions and procedures for calculation of cash flow projections</w:t>
            </w:r>
            <w:r>
              <w:rPr>
                <w:rFonts w:asciiTheme="majorHAnsi" w:hAnsiTheme="majorHAnsi" w:cstheme="majorHAnsi"/>
                <w:color w:val="000000"/>
                <w:spacing w:val="-4"/>
                <w:szCs w:val="18"/>
                <w:lang w:val="en-US"/>
              </w:rPr>
              <w:t>.</w:t>
            </w:r>
          </w:p>
          <w:p w14:paraId="4C0F2EFC" w14:textId="77777777" w:rsidR="00723550" w:rsidRPr="00847FE8"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pacing w:val="-4"/>
                <w:szCs w:val="18"/>
                <w:lang w:val="en-US"/>
              </w:rPr>
            </w:pPr>
            <w:r w:rsidRPr="00847FE8">
              <w:rPr>
                <w:rFonts w:asciiTheme="majorHAnsi" w:hAnsiTheme="majorHAnsi" w:cstheme="majorHAnsi"/>
                <w:color w:val="000000"/>
                <w:spacing w:val="-4"/>
                <w:szCs w:val="18"/>
                <w:lang w:val="en-US"/>
              </w:rPr>
              <w:t>Examined the documents supporting the best estimates of management, especially the projected growth in revenues, gross margins and operating net income of subsidiaries and business units</w:t>
            </w:r>
            <w:r>
              <w:rPr>
                <w:rFonts w:asciiTheme="majorHAnsi" w:hAnsiTheme="majorHAnsi" w:cstheme="majorHAnsi"/>
                <w:color w:val="000000"/>
                <w:spacing w:val="-4"/>
                <w:szCs w:val="18"/>
                <w:lang w:val="en-US"/>
              </w:rPr>
              <w:t>.</w:t>
            </w:r>
          </w:p>
          <w:p w14:paraId="7D8A5136" w14:textId="77777777" w:rsidR="00723550" w:rsidRPr="00847FE8" w:rsidRDefault="00723550" w:rsidP="00723550">
            <w:pPr>
              <w:pStyle w:val="ListParagraph"/>
              <w:numPr>
                <w:ilvl w:val="0"/>
                <w:numId w:val="38"/>
              </w:numPr>
              <w:tabs>
                <w:tab w:val="left" w:pos="316"/>
              </w:tabs>
              <w:autoSpaceDE w:val="0"/>
              <w:autoSpaceDN w:val="0"/>
              <w:adjustRightInd w:val="0"/>
              <w:spacing w:after="0" w:line="360" w:lineRule="auto"/>
              <w:ind w:left="231" w:hanging="231"/>
              <w:jc w:val="both"/>
              <w:rPr>
                <w:rFonts w:asciiTheme="majorHAnsi" w:hAnsiTheme="majorHAnsi" w:cstheme="majorHAnsi"/>
                <w:color w:val="000000"/>
                <w:spacing w:val="-10"/>
                <w:szCs w:val="18"/>
                <w:lang w:val="en-US"/>
              </w:rPr>
            </w:pPr>
            <w:r w:rsidRPr="00847FE8">
              <w:rPr>
                <w:rFonts w:asciiTheme="majorHAnsi" w:hAnsiTheme="majorHAnsi" w:cstheme="majorHAnsi"/>
                <w:color w:val="000000"/>
                <w:spacing w:val="-10"/>
                <w:szCs w:val="18"/>
                <w:lang w:val="en-US"/>
              </w:rPr>
              <w:t>Tested the calculation and assess the appropriateness of discount rate used by management</w:t>
            </w:r>
            <w:r>
              <w:rPr>
                <w:rFonts w:asciiTheme="majorHAnsi" w:hAnsiTheme="majorHAnsi" w:cstheme="majorHAnsi"/>
                <w:color w:val="000000"/>
                <w:spacing w:val="-10"/>
                <w:szCs w:val="18"/>
                <w:lang w:val="en-US"/>
              </w:rPr>
              <w:t>.</w:t>
            </w:r>
            <w:r w:rsidRPr="00847FE8">
              <w:rPr>
                <w:rFonts w:asciiTheme="majorHAnsi" w:hAnsiTheme="majorHAnsi" w:cstheme="majorHAnsi"/>
                <w:color w:val="000000"/>
                <w:spacing w:val="-10"/>
                <w:szCs w:val="18"/>
                <w:lang w:val="en-US"/>
              </w:rPr>
              <w:t xml:space="preserve"> </w:t>
            </w:r>
          </w:p>
          <w:p w14:paraId="3E5A7263" w14:textId="77777777" w:rsidR="00723550" w:rsidRPr="0032246D"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Tested</w:t>
            </w:r>
            <w:r w:rsidRPr="0032246D">
              <w:rPr>
                <w:rFonts w:asciiTheme="majorHAnsi" w:hAnsiTheme="majorHAnsi" w:cstheme="majorHAnsi"/>
                <w:color w:val="000000"/>
                <w:szCs w:val="18"/>
                <w:rtl/>
                <w:cs/>
                <w:lang w:val="en-US"/>
              </w:rPr>
              <w:t xml:space="preserve"> </w:t>
            </w:r>
            <w:r w:rsidRPr="0032246D">
              <w:rPr>
                <w:rFonts w:asciiTheme="majorHAnsi" w:hAnsiTheme="majorHAnsi" w:cstheme="majorHAnsi"/>
                <w:color w:val="000000"/>
                <w:szCs w:val="18"/>
                <w:lang w:val="en-US"/>
              </w:rPr>
              <w:t>calculation</w:t>
            </w:r>
            <w:r w:rsidRPr="0032246D">
              <w:rPr>
                <w:rFonts w:asciiTheme="majorHAnsi" w:hAnsiTheme="majorHAnsi" w:cstheme="majorHAnsi"/>
                <w:color w:val="000000"/>
                <w:szCs w:val="18"/>
                <w:rtl/>
                <w:cs/>
                <w:lang w:val="en-US"/>
              </w:rPr>
              <w:t xml:space="preserve"> </w:t>
            </w:r>
            <w:r w:rsidRPr="0032246D">
              <w:rPr>
                <w:rFonts w:asciiTheme="majorHAnsi" w:hAnsiTheme="majorHAnsi" w:cstheme="majorHAnsi"/>
                <w:color w:val="000000"/>
                <w:szCs w:val="18"/>
                <w:lang w:val="en-US"/>
              </w:rPr>
              <w:t>for</w:t>
            </w:r>
            <w:r w:rsidRPr="0032246D">
              <w:rPr>
                <w:rFonts w:asciiTheme="majorHAnsi" w:hAnsiTheme="majorHAnsi" w:cstheme="majorHAnsi"/>
                <w:color w:val="000000"/>
                <w:szCs w:val="18"/>
                <w:rtl/>
                <w:cs/>
                <w:lang w:val="en-US"/>
              </w:rPr>
              <w:t xml:space="preserve"> </w:t>
            </w:r>
            <w:r w:rsidRPr="0032246D">
              <w:rPr>
                <w:rFonts w:asciiTheme="majorHAnsi" w:hAnsiTheme="majorHAnsi" w:cstheme="majorHAnsi"/>
                <w:color w:val="000000"/>
                <w:szCs w:val="18"/>
                <w:lang w:val="en-US"/>
              </w:rPr>
              <w:t>the</w:t>
            </w:r>
            <w:r w:rsidRPr="0032246D">
              <w:rPr>
                <w:rFonts w:asciiTheme="majorHAnsi" w:hAnsiTheme="majorHAnsi" w:cstheme="majorHAnsi"/>
                <w:color w:val="000000"/>
                <w:szCs w:val="18"/>
                <w:rtl/>
                <w:cs/>
                <w:lang w:val="en-US"/>
              </w:rPr>
              <w:t xml:space="preserve"> </w:t>
            </w:r>
            <w:r w:rsidRPr="0032246D">
              <w:rPr>
                <w:rFonts w:asciiTheme="majorHAnsi" w:hAnsiTheme="majorHAnsi" w:cstheme="majorHAnsi"/>
                <w:color w:val="000000"/>
                <w:szCs w:val="18"/>
                <w:lang w:val="en-US"/>
              </w:rPr>
              <w:t>recoverable</w:t>
            </w:r>
            <w:r w:rsidRPr="0032246D">
              <w:rPr>
                <w:rFonts w:asciiTheme="majorHAnsi" w:hAnsiTheme="majorHAnsi" w:cstheme="majorHAnsi"/>
                <w:color w:val="000000"/>
                <w:szCs w:val="18"/>
                <w:rtl/>
                <w:cs/>
                <w:lang w:val="en-US"/>
              </w:rPr>
              <w:t xml:space="preserve"> </w:t>
            </w:r>
            <w:r w:rsidRPr="0032246D">
              <w:rPr>
                <w:rFonts w:asciiTheme="majorHAnsi" w:hAnsiTheme="majorHAnsi" w:cstheme="majorHAnsi"/>
                <w:color w:val="000000"/>
                <w:szCs w:val="18"/>
                <w:lang w:val="en-US"/>
              </w:rPr>
              <w:t>amounts from investments</w:t>
            </w:r>
            <w:r>
              <w:rPr>
                <w:rFonts w:asciiTheme="majorHAnsi" w:hAnsiTheme="majorHAnsi" w:cstheme="majorHAnsi"/>
                <w:color w:val="000000"/>
                <w:szCs w:val="18"/>
                <w:lang w:val="en-US"/>
              </w:rPr>
              <w:t>.</w:t>
            </w:r>
          </w:p>
          <w:p w14:paraId="2EE31DDA" w14:textId="77777777" w:rsidR="00723550" w:rsidRPr="0032246D"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Considered the key drivers as the sensitivity analysis and the impact to recoverable amounts</w:t>
            </w:r>
            <w:r>
              <w:rPr>
                <w:rFonts w:asciiTheme="majorHAnsi" w:hAnsiTheme="majorHAnsi" w:cstheme="majorHAnsi"/>
                <w:color w:val="000000"/>
                <w:szCs w:val="18"/>
                <w:lang w:val="en-US"/>
              </w:rPr>
              <w:t>.</w:t>
            </w:r>
          </w:p>
          <w:p w14:paraId="59FCFE86" w14:textId="77777777" w:rsidR="00723550" w:rsidRPr="00847FE8" w:rsidRDefault="00723550" w:rsidP="00723550">
            <w:pPr>
              <w:pStyle w:val="ListParagraph"/>
              <w:numPr>
                <w:ilvl w:val="0"/>
                <w:numId w:val="38"/>
              </w:numPr>
              <w:tabs>
                <w:tab w:val="left" w:pos="316"/>
              </w:tabs>
              <w:autoSpaceDE w:val="0"/>
              <w:autoSpaceDN w:val="0"/>
              <w:adjustRightInd w:val="0"/>
              <w:spacing w:after="0" w:line="360" w:lineRule="auto"/>
              <w:ind w:left="231" w:hanging="231"/>
              <w:jc w:val="both"/>
              <w:rPr>
                <w:rFonts w:asciiTheme="majorHAnsi" w:hAnsiTheme="majorHAnsi" w:cstheme="majorHAnsi"/>
                <w:color w:val="000000"/>
                <w:spacing w:val="-6"/>
                <w:szCs w:val="18"/>
                <w:lang w:val="en-US"/>
              </w:rPr>
            </w:pPr>
            <w:r w:rsidRPr="00847FE8">
              <w:rPr>
                <w:rFonts w:asciiTheme="majorHAnsi" w:hAnsiTheme="majorHAnsi" w:cstheme="majorHAnsi"/>
                <w:color w:val="000000"/>
                <w:spacing w:val="-6"/>
                <w:szCs w:val="18"/>
                <w:lang w:val="en-US"/>
              </w:rPr>
              <w:t>Considered the adequacy and appropriateness of the Group’s disclosures for investment in subsidiary, allowance for goodwill and investments in subsidiaries</w:t>
            </w:r>
            <w:r>
              <w:rPr>
                <w:rFonts w:asciiTheme="majorHAnsi" w:hAnsiTheme="majorHAnsi" w:cstheme="majorHAnsi"/>
                <w:color w:val="000000"/>
                <w:spacing w:val="-6"/>
                <w:szCs w:val="18"/>
                <w:lang w:val="en-US"/>
              </w:rPr>
              <w:t>.</w:t>
            </w:r>
          </w:p>
          <w:p w14:paraId="4DFE8369" w14:textId="77777777" w:rsidR="00723550" w:rsidRDefault="00723550" w:rsidP="005902DA">
            <w:pPr>
              <w:autoSpaceDE w:val="0"/>
              <w:autoSpaceDN w:val="0"/>
              <w:adjustRightInd w:val="0"/>
              <w:spacing w:line="360" w:lineRule="auto"/>
              <w:rPr>
                <w:rFonts w:asciiTheme="majorHAnsi" w:hAnsiTheme="majorHAnsi" w:cstheme="majorHAnsi"/>
                <w:szCs w:val="18"/>
                <w:lang w:val="en-US"/>
              </w:rPr>
            </w:pPr>
          </w:p>
          <w:p w14:paraId="165ACD66"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26ADC4B1"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30310F63"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4E229DA6"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1AD27B9E"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17F8C791"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08E8A1B0"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23A96CE7"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2DD4422B"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3D458A4C" w14:textId="77777777" w:rsidR="00F0514C" w:rsidRDefault="00F0514C" w:rsidP="005902DA">
            <w:pPr>
              <w:autoSpaceDE w:val="0"/>
              <w:autoSpaceDN w:val="0"/>
              <w:adjustRightInd w:val="0"/>
              <w:spacing w:line="360" w:lineRule="auto"/>
              <w:rPr>
                <w:rFonts w:asciiTheme="majorHAnsi" w:hAnsiTheme="majorHAnsi" w:cstheme="majorHAnsi"/>
                <w:szCs w:val="18"/>
                <w:lang w:val="en-US"/>
              </w:rPr>
            </w:pPr>
          </w:p>
          <w:p w14:paraId="7E105DA7" w14:textId="42FB49A8" w:rsidR="00F0514C" w:rsidRPr="0032246D" w:rsidRDefault="00F0514C" w:rsidP="005902DA">
            <w:pPr>
              <w:autoSpaceDE w:val="0"/>
              <w:autoSpaceDN w:val="0"/>
              <w:adjustRightInd w:val="0"/>
              <w:spacing w:line="360" w:lineRule="auto"/>
              <w:rPr>
                <w:rFonts w:asciiTheme="majorHAnsi" w:hAnsiTheme="majorHAnsi" w:cstheme="majorHAnsi"/>
                <w:szCs w:val="18"/>
                <w:lang w:val="en-US"/>
              </w:rPr>
            </w:pPr>
          </w:p>
        </w:tc>
      </w:tr>
      <w:bookmarkEnd w:id="1"/>
      <w:tr w:rsidR="00723550" w:rsidRPr="0032246D" w14:paraId="63BC24DD" w14:textId="77777777" w:rsidTr="00EF1EAF">
        <w:tc>
          <w:tcPr>
            <w:tcW w:w="4106" w:type="dxa"/>
            <w:tcBorders>
              <w:top w:val="single" w:sz="4" w:space="0" w:color="auto"/>
            </w:tcBorders>
            <w:shd w:val="clear" w:color="auto" w:fill="auto"/>
          </w:tcPr>
          <w:p w14:paraId="5F70B2D4" w14:textId="77777777" w:rsidR="00723550" w:rsidRDefault="00723550" w:rsidP="008E6DAC">
            <w:pPr>
              <w:autoSpaceDE w:val="0"/>
              <w:autoSpaceDN w:val="0"/>
              <w:spacing w:after="0" w:line="360" w:lineRule="auto"/>
              <w:ind w:left="258"/>
              <w:jc w:val="thaiDistribute"/>
              <w:rPr>
                <w:rFonts w:asciiTheme="majorHAnsi" w:hAnsiTheme="majorHAnsi" w:cstheme="majorHAnsi"/>
                <w:b/>
                <w:bCs/>
                <w:szCs w:val="18"/>
                <w:lang w:val="en-US"/>
              </w:rPr>
            </w:pPr>
          </w:p>
          <w:p w14:paraId="7AB28F5B" w14:textId="77777777" w:rsidR="00723550" w:rsidRDefault="00723550" w:rsidP="00723550">
            <w:pPr>
              <w:autoSpaceDE w:val="0"/>
              <w:autoSpaceDN w:val="0"/>
              <w:adjustRightInd w:val="0"/>
              <w:spacing w:line="360" w:lineRule="auto"/>
              <w:jc w:val="both"/>
              <w:rPr>
                <w:rFonts w:asciiTheme="majorHAnsi" w:hAnsiTheme="majorHAnsi" w:cstheme="majorHAnsi"/>
                <w:b/>
                <w:bCs/>
                <w:szCs w:val="18"/>
                <w:lang w:val="en-US"/>
              </w:rPr>
            </w:pPr>
            <w:r w:rsidRPr="0032246D">
              <w:rPr>
                <w:rFonts w:asciiTheme="majorHAnsi" w:hAnsiTheme="majorHAnsi" w:cstheme="majorHAnsi"/>
                <w:b/>
                <w:bCs/>
                <w:szCs w:val="18"/>
                <w:lang w:val="en-US"/>
              </w:rPr>
              <w:t xml:space="preserve">Impairment of project costs on investments in projects development </w:t>
            </w:r>
          </w:p>
          <w:p w14:paraId="2F32A2A0" w14:textId="77777777" w:rsidR="00723550" w:rsidRPr="00881170" w:rsidRDefault="00723550" w:rsidP="00723550">
            <w:pPr>
              <w:autoSpaceDE w:val="0"/>
              <w:autoSpaceDN w:val="0"/>
              <w:spacing w:after="0" w:line="360" w:lineRule="auto"/>
              <w:ind w:left="258"/>
              <w:jc w:val="thaiDistribute"/>
              <w:rPr>
                <w:rFonts w:asciiTheme="majorHAnsi" w:hAnsiTheme="majorHAnsi" w:cstheme="majorHAnsi"/>
                <w:b/>
                <w:bCs/>
                <w:szCs w:val="18"/>
                <w:lang w:val="en-US"/>
              </w:rPr>
            </w:pPr>
          </w:p>
          <w:p w14:paraId="4495A4AC" w14:textId="77777777" w:rsidR="00723550" w:rsidRPr="00723550" w:rsidRDefault="00723550" w:rsidP="00723550">
            <w:pPr>
              <w:tabs>
                <w:tab w:val="left" w:pos="450"/>
                <w:tab w:val="left" w:pos="540"/>
              </w:tabs>
              <w:spacing w:line="360" w:lineRule="auto"/>
              <w:jc w:val="thaiDistribute"/>
              <w:rPr>
                <w:rFonts w:asciiTheme="majorHAnsi" w:hAnsiTheme="majorHAnsi" w:cstheme="majorHAnsi"/>
                <w:spacing w:val="-2"/>
                <w:szCs w:val="18"/>
                <w:lang w:val="en-US"/>
              </w:rPr>
            </w:pPr>
            <w:r w:rsidRPr="00847FE8">
              <w:rPr>
                <w:rFonts w:asciiTheme="majorHAnsi" w:hAnsiTheme="majorHAnsi" w:cstheme="majorHAnsi"/>
                <w:spacing w:val="-2"/>
                <w:szCs w:val="18"/>
                <w:lang w:val="en-US"/>
              </w:rPr>
              <w:t>As at 31 December 201</w:t>
            </w:r>
            <w:r>
              <w:rPr>
                <w:rFonts w:asciiTheme="majorHAnsi" w:hAnsiTheme="majorHAnsi" w:cstheme="majorHAnsi"/>
                <w:spacing w:val="-2"/>
                <w:szCs w:val="18"/>
                <w:lang w:val="en-US"/>
              </w:rPr>
              <w:t>8</w:t>
            </w:r>
            <w:r w:rsidRPr="00847FE8">
              <w:rPr>
                <w:rFonts w:asciiTheme="majorHAnsi" w:hAnsiTheme="majorHAnsi" w:cstheme="majorHAnsi"/>
                <w:spacing w:val="-2"/>
                <w:szCs w:val="18"/>
                <w:lang w:val="en-US"/>
              </w:rPr>
              <w:t xml:space="preserve">, the Group and Company have a number of significant investment projects in various locations which are in various stages of completion. The total amount of the investments in the Group and Company financial statements are Baht </w:t>
            </w:r>
            <w:r>
              <w:rPr>
                <w:rFonts w:asciiTheme="majorHAnsi" w:hAnsiTheme="majorHAnsi" w:cstheme="majorHAnsi"/>
                <w:spacing w:val="-2"/>
                <w:szCs w:val="18"/>
                <w:lang w:val="en-US"/>
              </w:rPr>
              <w:t>15,576.19</w:t>
            </w:r>
            <w:r w:rsidRPr="00592873">
              <w:rPr>
                <w:rFonts w:asciiTheme="majorHAnsi" w:hAnsiTheme="majorHAnsi" w:cstheme="majorHAnsi"/>
                <w:spacing w:val="-2"/>
                <w:szCs w:val="18"/>
                <w:lang w:val="en-US"/>
              </w:rPr>
              <w:t xml:space="preserve"> million and Baht </w:t>
            </w:r>
            <w:r>
              <w:rPr>
                <w:rFonts w:asciiTheme="majorHAnsi" w:hAnsiTheme="majorHAnsi" w:cstheme="majorHAnsi"/>
                <w:spacing w:val="-2"/>
                <w:szCs w:val="18"/>
                <w:lang w:val="en-US"/>
              </w:rPr>
              <w:t>7,069.64</w:t>
            </w:r>
            <w:r w:rsidRPr="00592873">
              <w:rPr>
                <w:rFonts w:asciiTheme="majorHAnsi" w:hAnsiTheme="majorHAnsi" w:cstheme="majorHAnsi"/>
                <w:spacing w:val="-2"/>
                <w:szCs w:val="18"/>
                <w:lang w:val="en-US"/>
              </w:rPr>
              <w:t xml:space="preserve"> million</w:t>
            </w:r>
            <w:r w:rsidRPr="00847FE8">
              <w:rPr>
                <w:rFonts w:asciiTheme="majorHAnsi" w:hAnsiTheme="majorHAnsi" w:cstheme="majorHAnsi"/>
                <w:spacing w:val="-2"/>
                <w:szCs w:val="18"/>
                <w:lang w:val="en-US"/>
              </w:rPr>
              <w:t>, respectively.</w:t>
            </w:r>
            <w:r>
              <w:rPr>
                <w:rFonts w:asciiTheme="majorHAnsi" w:hAnsiTheme="majorHAnsi" w:cstheme="majorHAnsi"/>
                <w:spacing w:val="-2"/>
                <w:szCs w:val="18"/>
                <w:lang w:val="en-US"/>
              </w:rPr>
              <w:t xml:space="preserve"> </w:t>
            </w:r>
            <w:r w:rsidRPr="0032246D">
              <w:rPr>
                <w:rFonts w:asciiTheme="majorHAnsi" w:hAnsiTheme="majorHAnsi" w:cstheme="majorHAnsi"/>
                <w:szCs w:val="18"/>
                <w:lang w:val="en-US"/>
              </w:rPr>
              <w:t>The assessment of the realizable value of the investments in such projects requires significant judgement about the future project feasibility, forecasted cash flows and expenses from operations in such projects and the use of the appropriate discount rate to discount cash flows projection.</w:t>
            </w:r>
          </w:p>
          <w:p w14:paraId="3BDB3E70" w14:textId="77777777" w:rsidR="00723550" w:rsidRPr="0032246D" w:rsidRDefault="00723550" w:rsidP="00723550">
            <w:pPr>
              <w:autoSpaceDE w:val="0"/>
              <w:autoSpaceDN w:val="0"/>
              <w:spacing w:after="0" w:line="360" w:lineRule="auto"/>
              <w:ind w:left="258"/>
              <w:jc w:val="thaiDistribute"/>
              <w:rPr>
                <w:rFonts w:asciiTheme="majorHAnsi" w:hAnsiTheme="majorHAnsi" w:cstheme="majorHAnsi"/>
                <w:szCs w:val="18"/>
                <w:lang w:val="en-US"/>
              </w:rPr>
            </w:pPr>
          </w:p>
          <w:p w14:paraId="64F7345D" w14:textId="77777777" w:rsidR="00723550" w:rsidRPr="0032246D" w:rsidRDefault="00723550" w:rsidP="00723550">
            <w:pPr>
              <w:tabs>
                <w:tab w:val="left" w:pos="450"/>
                <w:tab w:val="left" w:pos="540"/>
              </w:tabs>
              <w:spacing w:line="360" w:lineRule="auto"/>
              <w:jc w:val="thaiDistribute"/>
              <w:rPr>
                <w:rFonts w:asciiTheme="majorHAnsi" w:hAnsiTheme="majorHAnsi" w:cstheme="majorHAnsi"/>
                <w:i/>
                <w:iCs/>
                <w:szCs w:val="18"/>
                <w:lang w:val="en-US"/>
              </w:rPr>
            </w:pPr>
            <w:r w:rsidRPr="0032246D">
              <w:rPr>
                <w:rFonts w:asciiTheme="majorHAnsi" w:hAnsiTheme="majorHAnsi" w:cstheme="majorHAnsi"/>
                <w:szCs w:val="18"/>
                <w:lang w:val="en-US"/>
              </w:rPr>
              <w:t xml:space="preserve">The details of the investments are disclosed in </w:t>
            </w:r>
            <w:r w:rsidRPr="0032246D">
              <w:rPr>
                <w:rFonts w:asciiTheme="majorHAnsi" w:hAnsiTheme="majorHAnsi" w:cstheme="majorHAnsi"/>
                <w:szCs w:val="18"/>
              </w:rPr>
              <w:t>N</w:t>
            </w:r>
            <w:proofErr w:type="spellStart"/>
            <w:r w:rsidRPr="0032246D">
              <w:rPr>
                <w:rFonts w:asciiTheme="majorHAnsi" w:hAnsiTheme="majorHAnsi" w:cstheme="majorHAnsi"/>
                <w:szCs w:val="18"/>
                <w:lang w:val="en-US"/>
              </w:rPr>
              <w:t>otes</w:t>
            </w:r>
            <w:proofErr w:type="spellEnd"/>
            <w:r w:rsidRPr="0032246D">
              <w:rPr>
                <w:rFonts w:asciiTheme="majorHAnsi" w:hAnsiTheme="majorHAnsi" w:cstheme="majorHAnsi"/>
                <w:szCs w:val="18"/>
                <w:lang w:val="en-US"/>
              </w:rPr>
              <w:t xml:space="preserve"> </w:t>
            </w:r>
            <w:r w:rsidRPr="00233375">
              <w:rPr>
                <w:rFonts w:asciiTheme="majorHAnsi" w:hAnsiTheme="majorHAnsi" w:cstheme="majorHAnsi"/>
                <w:szCs w:val="18"/>
                <w:lang w:val="en-US"/>
              </w:rPr>
              <w:t>1</w:t>
            </w:r>
            <w:r>
              <w:rPr>
                <w:rFonts w:asciiTheme="majorHAnsi" w:hAnsiTheme="majorHAnsi" w:cstheme="majorHAnsi"/>
                <w:szCs w:val="18"/>
                <w:lang w:val="en-US"/>
              </w:rPr>
              <w:t>7</w:t>
            </w:r>
            <w:r w:rsidRPr="00233375">
              <w:rPr>
                <w:rFonts w:asciiTheme="majorHAnsi" w:hAnsiTheme="majorHAnsi" w:cstheme="majorHAnsi"/>
                <w:szCs w:val="18"/>
                <w:lang w:val="en-US"/>
              </w:rPr>
              <w:t>, 1</w:t>
            </w:r>
            <w:r>
              <w:rPr>
                <w:rFonts w:asciiTheme="majorHAnsi" w:hAnsiTheme="majorHAnsi" w:cstheme="majorHAnsi"/>
                <w:szCs w:val="18"/>
                <w:lang w:val="en-US"/>
              </w:rPr>
              <w:t>8</w:t>
            </w:r>
            <w:r w:rsidRPr="00233375">
              <w:rPr>
                <w:rFonts w:asciiTheme="majorHAnsi" w:hAnsiTheme="majorHAnsi" w:cstheme="majorHAnsi"/>
                <w:szCs w:val="18"/>
                <w:lang w:val="en-US"/>
              </w:rPr>
              <w:t>, 1</w:t>
            </w:r>
            <w:r>
              <w:rPr>
                <w:rFonts w:asciiTheme="majorHAnsi" w:hAnsiTheme="majorHAnsi" w:cstheme="majorHAnsi"/>
                <w:szCs w:val="18"/>
                <w:lang w:val="en-US"/>
              </w:rPr>
              <w:t>9</w:t>
            </w:r>
            <w:r w:rsidRPr="00233375">
              <w:rPr>
                <w:rFonts w:asciiTheme="majorHAnsi" w:hAnsiTheme="majorHAnsi" w:cstheme="majorHAnsi"/>
                <w:szCs w:val="18"/>
                <w:lang w:val="en-US"/>
              </w:rPr>
              <w:t xml:space="preserve"> and 2</w:t>
            </w:r>
            <w:r>
              <w:rPr>
                <w:rFonts w:asciiTheme="majorHAnsi" w:hAnsiTheme="majorHAnsi" w:cstheme="majorHAnsi"/>
                <w:szCs w:val="18"/>
                <w:lang w:val="en-US"/>
              </w:rPr>
              <w:t>5</w:t>
            </w:r>
            <w:r w:rsidRPr="00233375">
              <w:rPr>
                <w:rFonts w:asciiTheme="majorHAnsi" w:hAnsiTheme="majorHAnsi" w:cstheme="majorHAnsi"/>
                <w:szCs w:val="18"/>
                <w:lang w:val="en-US"/>
              </w:rPr>
              <w:t>.</w:t>
            </w:r>
            <w:r w:rsidRPr="0032246D">
              <w:rPr>
                <w:rFonts w:asciiTheme="majorHAnsi" w:hAnsiTheme="majorHAnsi" w:cstheme="majorHAnsi"/>
                <w:szCs w:val="18"/>
                <w:lang w:val="en-US"/>
              </w:rPr>
              <w:t xml:space="preserve"> </w:t>
            </w:r>
          </w:p>
          <w:p w14:paraId="1C9ACCCE" w14:textId="01896089" w:rsidR="00723550" w:rsidRDefault="00723550" w:rsidP="008E6DAC">
            <w:pPr>
              <w:autoSpaceDE w:val="0"/>
              <w:autoSpaceDN w:val="0"/>
              <w:spacing w:after="0" w:line="360" w:lineRule="auto"/>
              <w:ind w:left="258"/>
              <w:jc w:val="thaiDistribute"/>
              <w:rPr>
                <w:rFonts w:asciiTheme="majorHAnsi" w:hAnsiTheme="majorHAnsi" w:cstheme="majorHAnsi"/>
                <w:b/>
                <w:bCs/>
                <w:szCs w:val="18"/>
                <w:lang w:val="en-US"/>
              </w:rPr>
            </w:pPr>
          </w:p>
        </w:tc>
        <w:tc>
          <w:tcPr>
            <w:tcW w:w="4253" w:type="dxa"/>
            <w:tcBorders>
              <w:top w:val="single" w:sz="4" w:space="0" w:color="auto"/>
            </w:tcBorders>
            <w:shd w:val="clear" w:color="auto" w:fill="auto"/>
          </w:tcPr>
          <w:p w14:paraId="1323E0BA" w14:textId="77777777" w:rsidR="00723550" w:rsidRDefault="00723550" w:rsidP="00723550">
            <w:pPr>
              <w:autoSpaceDE w:val="0"/>
              <w:autoSpaceDN w:val="0"/>
              <w:spacing w:line="240" w:lineRule="auto"/>
              <w:jc w:val="thaiDistribute"/>
              <w:rPr>
                <w:rFonts w:asciiTheme="majorHAnsi" w:hAnsiTheme="majorHAnsi" w:cstheme="majorHAnsi"/>
                <w:szCs w:val="18"/>
                <w:lang w:val="en-US"/>
              </w:rPr>
            </w:pPr>
          </w:p>
          <w:p w14:paraId="698CC037" w14:textId="00FA087A" w:rsidR="00723550" w:rsidRPr="0032246D" w:rsidRDefault="00723550" w:rsidP="00723550">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1F14A759" w14:textId="7C45D3E0" w:rsidR="00723550" w:rsidRDefault="00723550" w:rsidP="00723550">
            <w:pPr>
              <w:autoSpaceDE w:val="0"/>
              <w:autoSpaceDN w:val="0"/>
              <w:spacing w:after="0" w:line="360" w:lineRule="auto"/>
              <w:jc w:val="thaiDistribute"/>
              <w:rPr>
                <w:rFonts w:asciiTheme="majorHAnsi" w:hAnsiTheme="majorHAnsi" w:cstheme="majorHAnsi"/>
                <w:color w:val="000000"/>
                <w:szCs w:val="18"/>
                <w:lang w:val="en-US"/>
              </w:rPr>
            </w:pPr>
          </w:p>
          <w:p w14:paraId="1DDE3BE0" w14:textId="77777777" w:rsidR="00723550" w:rsidRPr="0032246D" w:rsidRDefault="00723550" w:rsidP="00723550">
            <w:pPr>
              <w:autoSpaceDE w:val="0"/>
              <w:autoSpaceDN w:val="0"/>
              <w:spacing w:after="0" w:line="276" w:lineRule="auto"/>
              <w:jc w:val="thaiDistribute"/>
              <w:rPr>
                <w:rFonts w:asciiTheme="majorHAnsi" w:hAnsiTheme="majorHAnsi" w:cstheme="majorHAnsi"/>
                <w:color w:val="000000"/>
                <w:szCs w:val="18"/>
                <w:lang w:val="en-US"/>
              </w:rPr>
            </w:pPr>
          </w:p>
          <w:p w14:paraId="7664C3B7" w14:textId="77777777" w:rsidR="00723550" w:rsidRPr="00847FE8" w:rsidRDefault="00723550" w:rsidP="00723550">
            <w:pPr>
              <w:pStyle w:val="ListParagraph"/>
              <w:numPr>
                <w:ilvl w:val="0"/>
                <w:numId w:val="3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pacing w:val="-6"/>
                <w:szCs w:val="18"/>
                <w:lang w:val="en-US"/>
              </w:rPr>
            </w:pPr>
            <w:r w:rsidRPr="00847FE8">
              <w:rPr>
                <w:rFonts w:asciiTheme="majorHAnsi" w:hAnsiTheme="majorHAnsi" w:cstheme="majorHAnsi"/>
                <w:color w:val="000000"/>
                <w:spacing w:val="-6"/>
                <w:szCs w:val="18"/>
                <w:lang w:val="en-US"/>
              </w:rPr>
              <w:t>Obtained an understanding of the process for assessment of recoverable amounts of investments and group business units</w:t>
            </w:r>
            <w:r>
              <w:rPr>
                <w:rFonts w:asciiTheme="majorHAnsi" w:hAnsiTheme="majorHAnsi" w:cstheme="majorHAnsi"/>
                <w:color w:val="000000"/>
                <w:spacing w:val="-6"/>
                <w:szCs w:val="18"/>
                <w:lang w:val="en-US"/>
              </w:rPr>
              <w:t>.</w:t>
            </w:r>
          </w:p>
          <w:p w14:paraId="12B54123" w14:textId="0B792B82" w:rsidR="00723550" w:rsidRPr="0032246D" w:rsidRDefault="00723550" w:rsidP="00723550">
            <w:pPr>
              <w:pStyle w:val="ListParagraph"/>
              <w:numPr>
                <w:ilvl w:val="0"/>
                <w:numId w:val="3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Considered indication of impairment of project costs on investments in projects development</w:t>
            </w:r>
            <w:r>
              <w:rPr>
                <w:rFonts w:asciiTheme="majorHAnsi" w:hAnsiTheme="majorHAnsi" w:cstheme="majorHAnsi"/>
                <w:color w:val="000000"/>
                <w:szCs w:val="18"/>
                <w:lang w:val="en-US"/>
              </w:rPr>
              <w:t>.</w:t>
            </w:r>
            <w:r w:rsidRPr="0032246D">
              <w:rPr>
                <w:rFonts w:asciiTheme="majorHAnsi" w:hAnsiTheme="majorHAnsi" w:cstheme="majorHAnsi"/>
                <w:color w:val="000000"/>
                <w:szCs w:val="18"/>
                <w:lang w:val="en-US"/>
              </w:rPr>
              <w:t xml:space="preserve"> </w:t>
            </w:r>
          </w:p>
          <w:p w14:paraId="4E90A6B8" w14:textId="77777777" w:rsidR="00723550" w:rsidRPr="00847FE8" w:rsidRDefault="00723550" w:rsidP="00723550">
            <w:pPr>
              <w:pStyle w:val="ListParagraph"/>
              <w:numPr>
                <w:ilvl w:val="0"/>
                <w:numId w:val="38"/>
              </w:numPr>
              <w:tabs>
                <w:tab w:val="left" w:pos="232"/>
              </w:tabs>
              <w:autoSpaceDE w:val="0"/>
              <w:autoSpaceDN w:val="0"/>
              <w:adjustRightInd w:val="0"/>
              <w:spacing w:after="0" w:line="360" w:lineRule="auto"/>
              <w:ind w:left="232" w:hanging="232"/>
              <w:jc w:val="thaiDistribute"/>
              <w:rPr>
                <w:rFonts w:asciiTheme="majorHAnsi" w:hAnsiTheme="majorHAnsi" w:cstheme="majorHAnsi"/>
                <w:color w:val="000000"/>
                <w:spacing w:val="-4"/>
                <w:szCs w:val="18"/>
                <w:lang w:val="en-US"/>
              </w:rPr>
            </w:pPr>
            <w:r w:rsidRPr="00847FE8">
              <w:rPr>
                <w:rFonts w:asciiTheme="majorHAnsi" w:hAnsiTheme="majorHAnsi" w:cstheme="majorHAnsi"/>
                <w:color w:val="000000"/>
                <w:spacing w:val="-4"/>
                <w:szCs w:val="18"/>
                <w:lang w:val="en-US"/>
              </w:rPr>
              <w:t>Considered the reasonableness of management’s assumptions and procedures used for calculation of cash flows projection</w:t>
            </w:r>
            <w:r>
              <w:rPr>
                <w:rFonts w:asciiTheme="majorHAnsi" w:hAnsiTheme="majorHAnsi" w:cstheme="majorHAnsi"/>
                <w:color w:val="000000"/>
                <w:spacing w:val="-4"/>
                <w:szCs w:val="18"/>
                <w:lang w:val="en-US"/>
              </w:rPr>
              <w:t>.</w:t>
            </w:r>
          </w:p>
          <w:p w14:paraId="1E58B3DE" w14:textId="77777777" w:rsidR="00723550" w:rsidRPr="0032246D"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Examined the documents supporting the best estimates of management, especially the projected growth in revenues, gross margins and operating net income of subsidiaries and business units</w:t>
            </w:r>
            <w:r>
              <w:rPr>
                <w:rFonts w:asciiTheme="majorHAnsi" w:hAnsiTheme="majorHAnsi" w:cstheme="majorHAnsi"/>
                <w:color w:val="000000"/>
                <w:szCs w:val="18"/>
                <w:lang w:val="en-US"/>
              </w:rPr>
              <w:t>.</w:t>
            </w:r>
          </w:p>
          <w:p w14:paraId="4BF90904" w14:textId="77777777" w:rsidR="00723550" w:rsidRPr="0013283E"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13283E">
              <w:rPr>
                <w:rFonts w:asciiTheme="majorHAnsi" w:hAnsiTheme="majorHAnsi" w:cstheme="majorHAnsi"/>
                <w:color w:val="000000"/>
                <w:szCs w:val="18"/>
                <w:lang w:val="en-US"/>
              </w:rPr>
              <w:t>Tested the calculation and assessed the appropriateness of discount rate used by management</w:t>
            </w:r>
            <w:r>
              <w:rPr>
                <w:rFonts w:asciiTheme="majorHAnsi" w:hAnsiTheme="majorHAnsi" w:cstheme="majorHAnsi"/>
                <w:color w:val="000000"/>
                <w:szCs w:val="18"/>
                <w:lang w:val="en-US"/>
              </w:rPr>
              <w:t>.</w:t>
            </w:r>
            <w:r w:rsidRPr="0013283E">
              <w:rPr>
                <w:rFonts w:asciiTheme="majorHAnsi" w:hAnsiTheme="majorHAnsi" w:cstheme="majorHAnsi"/>
                <w:color w:val="000000"/>
                <w:szCs w:val="18"/>
                <w:lang w:val="en-US"/>
              </w:rPr>
              <w:t xml:space="preserve"> </w:t>
            </w:r>
          </w:p>
          <w:p w14:paraId="2BDBAF3A" w14:textId="77777777" w:rsidR="00723550" w:rsidRPr="0032246D"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color w:val="000000"/>
                <w:szCs w:val="18"/>
                <w:lang w:val="en-US"/>
              </w:rPr>
            </w:pPr>
            <w:r w:rsidRPr="0032246D">
              <w:rPr>
                <w:rFonts w:asciiTheme="majorHAnsi" w:hAnsiTheme="majorHAnsi" w:cstheme="majorHAnsi"/>
                <w:color w:val="000000"/>
                <w:szCs w:val="18"/>
                <w:lang w:val="en-US"/>
              </w:rPr>
              <w:t>Tested the calculation for the recoverable amounts of projects under development</w:t>
            </w:r>
            <w:r>
              <w:rPr>
                <w:rFonts w:asciiTheme="majorHAnsi" w:hAnsiTheme="majorHAnsi" w:cstheme="majorHAnsi"/>
                <w:color w:val="000000"/>
                <w:szCs w:val="18"/>
                <w:lang w:val="en-US"/>
              </w:rPr>
              <w:t>.</w:t>
            </w:r>
          </w:p>
          <w:p w14:paraId="25DE1691" w14:textId="77777777" w:rsidR="00723550" w:rsidRPr="0032246D" w:rsidRDefault="00723550" w:rsidP="00723550">
            <w:pPr>
              <w:pStyle w:val="ListParagraph"/>
              <w:numPr>
                <w:ilvl w:val="0"/>
                <w:numId w:val="38"/>
              </w:numPr>
              <w:tabs>
                <w:tab w:val="left" w:pos="316"/>
              </w:tabs>
              <w:autoSpaceDE w:val="0"/>
              <w:autoSpaceDN w:val="0"/>
              <w:adjustRightInd w:val="0"/>
              <w:spacing w:after="0" w:line="360" w:lineRule="auto"/>
              <w:ind w:left="231" w:hanging="231"/>
              <w:jc w:val="thaiDistribute"/>
              <w:rPr>
                <w:rFonts w:asciiTheme="majorHAnsi" w:hAnsiTheme="majorHAnsi" w:cstheme="majorHAnsi"/>
                <w:szCs w:val="18"/>
                <w:lang w:val="en-US"/>
              </w:rPr>
            </w:pPr>
            <w:r w:rsidRPr="0032246D">
              <w:rPr>
                <w:rFonts w:asciiTheme="majorHAnsi" w:hAnsiTheme="majorHAnsi" w:cstheme="majorHAnsi"/>
                <w:color w:val="000000"/>
                <w:szCs w:val="18"/>
                <w:lang w:val="en-US"/>
              </w:rPr>
              <w:t>Considered the adequacy and appropriateness of the Group’s and Company’s disclosures for investments in projects and intangible assets</w:t>
            </w:r>
            <w:r>
              <w:rPr>
                <w:rFonts w:asciiTheme="majorHAnsi" w:hAnsiTheme="majorHAnsi" w:cstheme="majorHAnsi"/>
                <w:color w:val="000000"/>
                <w:szCs w:val="18"/>
                <w:lang w:val="en-US"/>
              </w:rPr>
              <w:t>.</w:t>
            </w:r>
          </w:p>
          <w:p w14:paraId="79AFAE3C" w14:textId="77777777" w:rsidR="00723550" w:rsidRDefault="00723550" w:rsidP="00881170">
            <w:pPr>
              <w:autoSpaceDE w:val="0"/>
              <w:autoSpaceDN w:val="0"/>
              <w:spacing w:after="0" w:line="360" w:lineRule="auto"/>
              <w:ind w:left="258"/>
              <w:jc w:val="thaiDistribute"/>
              <w:rPr>
                <w:rFonts w:asciiTheme="majorHAnsi" w:hAnsiTheme="majorHAnsi" w:cstheme="majorHAnsi"/>
                <w:szCs w:val="18"/>
                <w:lang w:val="en-US"/>
              </w:rPr>
            </w:pPr>
          </w:p>
        </w:tc>
      </w:tr>
    </w:tbl>
    <w:p w14:paraId="0D62B9A7"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1F78E2C8" w14:textId="77777777" w:rsidR="00EF1EAF" w:rsidRPr="0032246D" w:rsidRDefault="00EF1EAF" w:rsidP="00EF1EAF">
      <w:pPr>
        <w:pStyle w:val="Default"/>
        <w:spacing w:line="360" w:lineRule="auto"/>
        <w:rPr>
          <w:rFonts w:asciiTheme="majorHAnsi" w:hAnsiTheme="majorHAnsi" w:cstheme="majorHAnsi"/>
          <w:i/>
          <w:iCs/>
          <w:color w:val="auto"/>
          <w:sz w:val="19"/>
          <w:szCs w:val="19"/>
        </w:rPr>
      </w:pPr>
      <w:r w:rsidRPr="0032246D">
        <w:rPr>
          <w:rFonts w:asciiTheme="majorHAnsi" w:hAnsiTheme="majorHAnsi" w:cstheme="majorHAnsi"/>
          <w:i/>
          <w:iCs/>
          <w:color w:val="auto"/>
          <w:sz w:val="19"/>
          <w:szCs w:val="19"/>
        </w:rPr>
        <w:t>Other Information</w:t>
      </w:r>
    </w:p>
    <w:p w14:paraId="7BA0E57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68F61F7" w14:textId="4B4B6302" w:rsidR="00EF1EAF" w:rsidRPr="0032246D" w:rsidRDefault="00EF1EAF" w:rsidP="00EF1EAF">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rPr>
        <w:t>Management is responsible for the other information. The other information comprises the information included in the annual report</w:t>
      </w:r>
      <w:r w:rsidR="00B510BC">
        <w:rPr>
          <w:rFonts w:asciiTheme="majorHAnsi" w:hAnsiTheme="majorHAnsi" w:cstheme="majorHAnsi"/>
          <w:sz w:val="19"/>
          <w:szCs w:val="19"/>
        </w:rPr>
        <w:t xml:space="preserve"> other than</w:t>
      </w:r>
      <w:r w:rsidRPr="0032246D">
        <w:rPr>
          <w:rFonts w:asciiTheme="majorHAnsi" w:hAnsiTheme="majorHAnsi" w:cstheme="majorHAnsi"/>
          <w:color w:val="auto"/>
          <w:sz w:val="19"/>
          <w:szCs w:val="19"/>
        </w:rPr>
        <w:t xml:space="preserve"> the financial statements </w:t>
      </w:r>
      <w:r w:rsidRPr="0032246D">
        <w:rPr>
          <w:rFonts w:asciiTheme="majorHAnsi" w:hAnsiTheme="majorHAnsi" w:cstheme="majorHAnsi"/>
          <w:sz w:val="19"/>
          <w:szCs w:val="19"/>
        </w:rPr>
        <w:t xml:space="preserve">and my auditor’s report thereon. The annual report is expected to be made available </w:t>
      </w:r>
      <w:r w:rsidR="00D04A20">
        <w:rPr>
          <w:rFonts w:asciiTheme="majorHAnsi" w:hAnsiTheme="majorHAnsi" w:cstheme="majorHAnsi"/>
          <w:sz w:val="19"/>
          <w:szCs w:val="19"/>
        </w:rPr>
        <w:t>to m</w:t>
      </w:r>
      <w:r w:rsidR="00B510BC">
        <w:rPr>
          <w:rFonts w:asciiTheme="majorHAnsi" w:hAnsiTheme="majorHAnsi" w:cstheme="majorHAnsi"/>
          <w:sz w:val="19"/>
          <w:szCs w:val="19"/>
        </w:rPr>
        <w:t>y review</w:t>
      </w:r>
      <w:r w:rsidR="00D04A20">
        <w:rPr>
          <w:rFonts w:asciiTheme="majorHAnsi" w:hAnsiTheme="majorHAnsi" w:cstheme="majorHAnsi"/>
          <w:sz w:val="19"/>
          <w:szCs w:val="19"/>
        </w:rPr>
        <w:t xml:space="preserve"> after </w:t>
      </w:r>
      <w:r w:rsidRPr="0032246D">
        <w:rPr>
          <w:rFonts w:asciiTheme="majorHAnsi" w:hAnsiTheme="majorHAnsi" w:cstheme="majorHAnsi"/>
          <w:sz w:val="19"/>
          <w:szCs w:val="19"/>
        </w:rPr>
        <w:t xml:space="preserve">the date of this auditor's report. </w:t>
      </w:r>
    </w:p>
    <w:p w14:paraId="25AE1DDE"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rPr>
      </w:pPr>
    </w:p>
    <w:p w14:paraId="23BC9F06" w14:textId="657FF1D6"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My opinion on the financial statements does not cover the other information and I </w:t>
      </w:r>
      <w:r w:rsidR="00D04A20">
        <w:rPr>
          <w:rFonts w:asciiTheme="majorHAnsi" w:hAnsiTheme="majorHAnsi" w:cstheme="majorHAnsi"/>
          <w:sz w:val="19"/>
          <w:szCs w:val="19"/>
          <w:lang w:val="en-US"/>
        </w:rPr>
        <w:t xml:space="preserve">will </w:t>
      </w:r>
      <w:r w:rsidRPr="0032246D">
        <w:rPr>
          <w:rFonts w:asciiTheme="majorHAnsi" w:hAnsiTheme="majorHAnsi" w:cstheme="majorHAnsi"/>
          <w:sz w:val="19"/>
          <w:szCs w:val="19"/>
          <w:lang w:val="en-US"/>
        </w:rPr>
        <w:t xml:space="preserve">not express any form of assurance conclusion thereon. </w:t>
      </w:r>
    </w:p>
    <w:p w14:paraId="162D66B3" w14:textId="3AF294F0" w:rsidR="00EF1EAF" w:rsidRDefault="00EF1EAF" w:rsidP="00EF1EAF">
      <w:pPr>
        <w:autoSpaceDE w:val="0"/>
        <w:autoSpaceDN w:val="0"/>
        <w:adjustRightInd w:val="0"/>
        <w:spacing w:line="360" w:lineRule="auto"/>
        <w:rPr>
          <w:rFonts w:asciiTheme="majorHAnsi" w:hAnsiTheme="majorHAnsi" w:cstheme="majorHAnsi"/>
          <w:sz w:val="19"/>
          <w:szCs w:val="19"/>
          <w:lang w:val="en-US"/>
        </w:rPr>
      </w:pPr>
    </w:p>
    <w:p w14:paraId="074880A7" w14:textId="2FD75E67" w:rsidR="009D0C80" w:rsidRDefault="009D0C80" w:rsidP="00EF1EAF">
      <w:pPr>
        <w:autoSpaceDE w:val="0"/>
        <w:autoSpaceDN w:val="0"/>
        <w:adjustRightInd w:val="0"/>
        <w:spacing w:line="360" w:lineRule="auto"/>
        <w:rPr>
          <w:rFonts w:asciiTheme="majorHAnsi" w:hAnsiTheme="majorHAnsi" w:cstheme="majorHAnsi"/>
          <w:sz w:val="19"/>
          <w:szCs w:val="19"/>
          <w:lang w:val="en-US"/>
        </w:rPr>
      </w:pPr>
    </w:p>
    <w:p w14:paraId="744D5242" w14:textId="55599AB2" w:rsidR="00F0514C" w:rsidRDefault="00F0514C" w:rsidP="00EF1EAF">
      <w:pPr>
        <w:autoSpaceDE w:val="0"/>
        <w:autoSpaceDN w:val="0"/>
        <w:adjustRightInd w:val="0"/>
        <w:spacing w:line="360" w:lineRule="auto"/>
        <w:rPr>
          <w:rFonts w:asciiTheme="majorHAnsi" w:hAnsiTheme="majorHAnsi" w:cstheme="majorHAnsi"/>
          <w:sz w:val="19"/>
          <w:szCs w:val="19"/>
          <w:lang w:val="en-US"/>
        </w:rPr>
      </w:pPr>
    </w:p>
    <w:p w14:paraId="69908E15" w14:textId="69A79949" w:rsidR="00F0514C" w:rsidRDefault="00F0514C" w:rsidP="00EF1EAF">
      <w:pPr>
        <w:autoSpaceDE w:val="0"/>
        <w:autoSpaceDN w:val="0"/>
        <w:adjustRightInd w:val="0"/>
        <w:spacing w:line="360" w:lineRule="auto"/>
        <w:rPr>
          <w:rFonts w:asciiTheme="majorHAnsi" w:hAnsiTheme="majorHAnsi" w:cstheme="majorHAnsi"/>
          <w:sz w:val="19"/>
          <w:szCs w:val="19"/>
          <w:lang w:val="en-US"/>
        </w:rPr>
      </w:pPr>
    </w:p>
    <w:p w14:paraId="4D54E149" w14:textId="77777777" w:rsidR="00F0514C" w:rsidRPr="0032246D" w:rsidRDefault="00F0514C" w:rsidP="00EF1EAF">
      <w:pPr>
        <w:autoSpaceDE w:val="0"/>
        <w:autoSpaceDN w:val="0"/>
        <w:adjustRightInd w:val="0"/>
        <w:spacing w:line="360" w:lineRule="auto"/>
        <w:rPr>
          <w:rFonts w:asciiTheme="majorHAnsi" w:hAnsiTheme="majorHAnsi" w:cstheme="majorHAnsi"/>
          <w:sz w:val="19"/>
          <w:szCs w:val="19"/>
          <w:lang w:val="en-US"/>
        </w:rPr>
      </w:pPr>
    </w:p>
    <w:p w14:paraId="66C9995F" w14:textId="2057DD03"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In connection with my audit of the financial statements, my responsibility is to read the other information identified above when it becomes available and, in doing so, consider whether the other information is materially inconsistent with the financial statements or my knowledge obtained in the audit, or otherwise appears to be materially misstated. </w:t>
      </w:r>
    </w:p>
    <w:p w14:paraId="5F0DC221"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2DDD460E" w14:textId="40DF3B85"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When I read the annual report, if I conclude that there is a material misstatement therein, I am required to</w:t>
      </w:r>
      <w:r w:rsidR="003956A0">
        <w:rPr>
          <w:rFonts w:asciiTheme="majorHAnsi" w:hAnsiTheme="majorHAnsi" w:cstheme="majorHAnsi"/>
          <w:sz w:val="19"/>
          <w:szCs w:val="19"/>
          <w:lang w:val="en-US"/>
        </w:rPr>
        <w:t xml:space="preserve"> communicate the matter to</w:t>
      </w:r>
      <w:r w:rsidRPr="0032246D">
        <w:rPr>
          <w:rFonts w:asciiTheme="majorHAnsi" w:hAnsiTheme="majorHAnsi" w:cstheme="majorHAnsi"/>
          <w:sz w:val="19"/>
          <w:szCs w:val="19"/>
          <w:lang w:val="en-US"/>
        </w:rPr>
        <w:t xml:space="preserve"> those charged with governance</w:t>
      </w:r>
      <w:r w:rsidR="003956A0">
        <w:rPr>
          <w:rFonts w:asciiTheme="majorHAnsi" w:hAnsiTheme="majorHAnsi" w:cstheme="majorHAnsi"/>
          <w:sz w:val="19"/>
          <w:szCs w:val="19"/>
          <w:lang w:val="en-US"/>
        </w:rPr>
        <w:t xml:space="preserve"> and revised</w:t>
      </w:r>
      <w:r w:rsidRPr="0032246D">
        <w:rPr>
          <w:rFonts w:asciiTheme="majorHAnsi" w:hAnsiTheme="majorHAnsi" w:cstheme="majorHAnsi"/>
          <w:sz w:val="19"/>
          <w:szCs w:val="19"/>
          <w:lang w:val="en-US"/>
        </w:rPr>
        <w:t xml:space="preserve"> </w:t>
      </w:r>
      <w:r w:rsidR="003956A0">
        <w:rPr>
          <w:rFonts w:asciiTheme="majorHAnsi" w:hAnsiTheme="majorHAnsi" w:cstheme="majorHAnsi"/>
          <w:sz w:val="19"/>
          <w:szCs w:val="19"/>
          <w:lang w:val="en-US"/>
        </w:rPr>
        <w:t>a</w:t>
      </w:r>
      <w:r w:rsidRPr="0032246D">
        <w:rPr>
          <w:rFonts w:asciiTheme="majorHAnsi" w:hAnsiTheme="majorHAnsi" w:cstheme="majorHAnsi"/>
          <w:sz w:val="19"/>
          <w:szCs w:val="19"/>
          <w:lang w:val="en-US"/>
        </w:rPr>
        <w:t xml:space="preserve"> material misstatement. </w:t>
      </w:r>
    </w:p>
    <w:p w14:paraId="1CD5474D"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3D1D2200" w14:textId="54178B8C" w:rsidR="00EF1EAF" w:rsidRPr="0032246D" w:rsidRDefault="00EF1EAF" w:rsidP="00EF1EAF">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However, as described in the Basis for Qualified Opinion section with respect to the uncertainty in the collection of trade accounts receivable of overseas subsidiaries</w:t>
      </w:r>
      <w:r w:rsidR="006A7B49">
        <w:rPr>
          <w:rFonts w:asciiTheme="majorHAnsi" w:hAnsiTheme="majorHAnsi" w:cstheme="majorHAnsi"/>
          <w:sz w:val="19"/>
          <w:szCs w:val="19"/>
          <w:lang w:val="en-US"/>
        </w:rPr>
        <w:t xml:space="preserve"> </w:t>
      </w:r>
      <w:r w:rsidR="00B7274F">
        <w:rPr>
          <w:rFonts w:asciiTheme="majorHAnsi" w:hAnsiTheme="majorHAnsi" w:cstheme="majorHAnsi"/>
          <w:sz w:val="19"/>
          <w:szCs w:val="19"/>
          <w:lang w:val="en-US"/>
        </w:rPr>
        <w:t>and</w:t>
      </w:r>
      <w:r w:rsidR="004772B0">
        <w:rPr>
          <w:rFonts w:asciiTheme="majorHAnsi" w:hAnsiTheme="majorHAnsi" w:cstheme="majorHAnsi"/>
          <w:sz w:val="19"/>
          <w:szCs w:val="19"/>
          <w:lang w:val="en-US"/>
        </w:rPr>
        <w:t xml:space="preserve"> the</w:t>
      </w:r>
      <w:r w:rsidR="004772B0">
        <w:rPr>
          <w:rFonts w:asciiTheme="majorHAnsi" w:hAnsiTheme="majorHAnsi" w:cs="Browallia New"/>
          <w:sz w:val="19"/>
          <w:szCs w:val="24"/>
          <w:lang w:val="en-US" w:bidi="th-TH"/>
        </w:rPr>
        <w:t xml:space="preserve"> matter which cannot be concluded regarding to the </w:t>
      </w:r>
      <w:r w:rsidR="006A7B49">
        <w:rPr>
          <w:rFonts w:asciiTheme="majorHAnsi" w:hAnsiTheme="majorHAnsi" w:cs="Browallia New"/>
          <w:sz w:val="19"/>
          <w:szCs w:val="24"/>
          <w:lang w:val="en-US" w:bidi="th-TH"/>
        </w:rPr>
        <w:t xml:space="preserve">allowance for amount that might be </w:t>
      </w:r>
      <w:r w:rsidR="00B510BC">
        <w:rPr>
          <w:rFonts w:asciiTheme="majorHAnsi" w:hAnsiTheme="majorHAnsi" w:cs="Browallia New"/>
          <w:sz w:val="19"/>
          <w:szCs w:val="24"/>
          <w:lang w:val="en-US" w:bidi="th-TH"/>
        </w:rPr>
        <w:t>un</w:t>
      </w:r>
      <w:r w:rsidR="006A7B49">
        <w:rPr>
          <w:rFonts w:asciiTheme="majorHAnsi" w:hAnsiTheme="majorHAnsi" w:cs="Browallia New"/>
          <w:sz w:val="19"/>
          <w:szCs w:val="24"/>
          <w:lang w:val="en-US" w:bidi="th-TH"/>
        </w:rPr>
        <w:t>collect</w:t>
      </w:r>
      <w:r w:rsidR="00B510BC">
        <w:rPr>
          <w:rFonts w:asciiTheme="majorHAnsi" w:hAnsiTheme="majorHAnsi" w:cs="Browallia New"/>
          <w:sz w:val="19"/>
          <w:szCs w:val="24"/>
          <w:lang w:val="en-US" w:bidi="th-TH"/>
        </w:rPr>
        <w:t>ible</w:t>
      </w:r>
      <w:r w:rsidR="006A7B49">
        <w:rPr>
          <w:rFonts w:asciiTheme="majorHAnsi" w:hAnsiTheme="majorHAnsi" w:cs="Browallia New"/>
          <w:sz w:val="19"/>
          <w:szCs w:val="24"/>
          <w:lang w:val="en-US" w:bidi="th-TH"/>
        </w:rPr>
        <w:t xml:space="preserve"> for some part</w:t>
      </w:r>
      <w:r w:rsidR="00B510BC">
        <w:rPr>
          <w:rFonts w:asciiTheme="majorHAnsi" w:hAnsiTheme="majorHAnsi" w:cs="Browallia New"/>
          <w:sz w:val="19"/>
          <w:szCs w:val="24"/>
          <w:lang w:val="en-US" w:bidi="th-TH"/>
        </w:rPr>
        <w:t>s</w:t>
      </w:r>
      <w:r w:rsidR="006A7B49">
        <w:rPr>
          <w:rFonts w:asciiTheme="majorHAnsi" w:hAnsiTheme="majorHAnsi" w:cs="Browallia New"/>
          <w:sz w:val="19"/>
          <w:szCs w:val="24"/>
          <w:lang w:val="en-US" w:bidi="th-TH"/>
        </w:rPr>
        <w:t xml:space="preserve"> of</w:t>
      </w:r>
      <w:r w:rsidR="00B510BC">
        <w:rPr>
          <w:rFonts w:asciiTheme="majorHAnsi" w:hAnsiTheme="majorHAnsi" w:cs="Browallia New"/>
          <w:sz w:val="19"/>
          <w:szCs w:val="24"/>
          <w:lang w:val="en-US" w:bidi="th-TH"/>
        </w:rPr>
        <w:t xml:space="preserve"> amounts billed for</w:t>
      </w:r>
      <w:r w:rsidR="006A7B49">
        <w:rPr>
          <w:rFonts w:asciiTheme="majorHAnsi" w:hAnsiTheme="majorHAnsi" w:cs="Browallia New"/>
          <w:sz w:val="19"/>
          <w:szCs w:val="24"/>
          <w:lang w:val="en-US" w:bidi="th-TH"/>
        </w:rPr>
        <w:t xml:space="preserve"> construction work which</w:t>
      </w:r>
      <w:r w:rsidR="00B510BC">
        <w:rPr>
          <w:rFonts w:asciiTheme="majorHAnsi" w:hAnsiTheme="majorHAnsi" w:cs="Browallia New"/>
          <w:sz w:val="19"/>
          <w:szCs w:val="24"/>
          <w:lang w:val="en-US" w:bidi="th-TH"/>
        </w:rPr>
        <w:t xml:space="preserve"> work was not completed in accordance with the milestones</w:t>
      </w:r>
      <w:r w:rsidR="004772B0">
        <w:rPr>
          <w:rFonts w:asciiTheme="majorHAnsi" w:hAnsiTheme="majorHAnsi" w:cs="Browallia New"/>
          <w:sz w:val="19"/>
          <w:szCs w:val="24"/>
          <w:lang w:val="en-US" w:bidi="th-TH"/>
        </w:rPr>
        <w:t xml:space="preserve"> plan</w:t>
      </w:r>
      <w:r w:rsidR="00B510BC">
        <w:rPr>
          <w:rFonts w:asciiTheme="majorHAnsi" w:hAnsiTheme="majorHAnsi" w:cs="Browallia New"/>
          <w:sz w:val="19"/>
          <w:szCs w:val="24"/>
          <w:lang w:val="en-US" w:bidi="th-TH"/>
        </w:rPr>
        <w:t xml:space="preserve"> which</w:t>
      </w:r>
      <w:r w:rsidRPr="0032246D">
        <w:rPr>
          <w:rFonts w:asciiTheme="majorHAnsi" w:hAnsiTheme="majorHAnsi" w:cstheme="majorHAnsi"/>
          <w:sz w:val="19"/>
          <w:szCs w:val="19"/>
          <w:lang w:val="en-US"/>
        </w:rPr>
        <w:t xml:space="preserve"> my opinion is qualified. Therefore, should the management prepare other information based on financial statements that is different from such fact, other information will be materially misstated with respect to the value and other information in annual report which will impact by the uncertainty in the collection of accounts receivable</w:t>
      </w:r>
      <w:r w:rsidR="00E1643B">
        <w:rPr>
          <w:rFonts w:asciiTheme="majorHAnsi" w:hAnsiTheme="majorHAnsi" w:cstheme="majorHAnsi"/>
          <w:sz w:val="19"/>
          <w:szCs w:val="19"/>
          <w:lang w:val="en-US"/>
        </w:rPr>
        <w:t xml:space="preserve"> and </w:t>
      </w:r>
      <w:r w:rsidR="006A7B49">
        <w:rPr>
          <w:rFonts w:asciiTheme="majorHAnsi" w:hAnsiTheme="majorHAnsi" w:cstheme="majorHAnsi"/>
          <w:sz w:val="19"/>
          <w:szCs w:val="19"/>
          <w:lang w:val="en-US"/>
        </w:rPr>
        <w:t xml:space="preserve">allowance </w:t>
      </w:r>
      <w:r w:rsidR="00E1643B">
        <w:rPr>
          <w:rFonts w:asciiTheme="majorHAnsi" w:hAnsiTheme="majorHAnsi" w:cstheme="majorHAnsi"/>
          <w:sz w:val="19"/>
          <w:szCs w:val="19"/>
          <w:lang w:val="en-US"/>
        </w:rPr>
        <w:t>for</w:t>
      </w:r>
      <w:r w:rsidR="006A7B49">
        <w:rPr>
          <w:rFonts w:asciiTheme="majorHAnsi" w:hAnsiTheme="majorHAnsi" w:cstheme="majorHAnsi"/>
          <w:sz w:val="19"/>
          <w:szCs w:val="19"/>
          <w:lang w:val="en-US"/>
        </w:rPr>
        <w:t xml:space="preserve"> amount that might be </w:t>
      </w:r>
      <w:r w:rsidR="00B510BC">
        <w:rPr>
          <w:rFonts w:asciiTheme="majorHAnsi" w:hAnsiTheme="majorHAnsi" w:cstheme="majorHAnsi"/>
          <w:sz w:val="19"/>
          <w:szCs w:val="19"/>
          <w:lang w:val="en-US"/>
        </w:rPr>
        <w:t>un</w:t>
      </w:r>
      <w:r w:rsidR="006A7B49">
        <w:rPr>
          <w:rFonts w:asciiTheme="majorHAnsi" w:hAnsiTheme="majorHAnsi" w:cstheme="majorHAnsi"/>
          <w:sz w:val="19"/>
          <w:szCs w:val="19"/>
          <w:lang w:val="en-US"/>
        </w:rPr>
        <w:t>collect</w:t>
      </w:r>
      <w:r w:rsidR="00B510BC">
        <w:rPr>
          <w:rFonts w:asciiTheme="majorHAnsi" w:hAnsiTheme="majorHAnsi" w:cstheme="majorHAnsi"/>
          <w:sz w:val="19"/>
          <w:szCs w:val="19"/>
          <w:lang w:val="en-US"/>
        </w:rPr>
        <w:t>ible</w:t>
      </w:r>
      <w:r w:rsidR="006A7B49">
        <w:rPr>
          <w:rFonts w:asciiTheme="majorHAnsi" w:hAnsiTheme="majorHAnsi" w:cstheme="majorHAnsi"/>
          <w:sz w:val="19"/>
          <w:szCs w:val="19"/>
          <w:lang w:val="en-US"/>
        </w:rPr>
        <w:t xml:space="preserve"> for some part of construction </w:t>
      </w:r>
      <w:r w:rsidR="00E1643B">
        <w:rPr>
          <w:rFonts w:asciiTheme="majorHAnsi" w:hAnsiTheme="majorHAnsi" w:cstheme="majorHAnsi"/>
          <w:sz w:val="19"/>
          <w:szCs w:val="19"/>
          <w:lang w:val="en-US"/>
        </w:rPr>
        <w:t>work</w:t>
      </w:r>
      <w:r w:rsidR="00B510BC">
        <w:rPr>
          <w:rFonts w:asciiTheme="majorHAnsi" w:hAnsiTheme="majorHAnsi" w:cstheme="majorHAnsi"/>
          <w:sz w:val="19"/>
          <w:szCs w:val="19"/>
          <w:lang w:val="en-US"/>
        </w:rPr>
        <w:t>.</w:t>
      </w:r>
      <w:r w:rsidR="00966297">
        <w:rPr>
          <w:rFonts w:asciiTheme="majorHAnsi" w:hAnsiTheme="majorHAnsi" w:cstheme="majorHAnsi"/>
          <w:sz w:val="19"/>
          <w:szCs w:val="19"/>
          <w:lang w:val="en-US"/>
        </w:rPr>
        <w:t xml:space="preserve"> </w:t>
      </w:r>
      <w:r w:rsidR="00E1643B">
        <w:rPr>
          <w:rFonts w:asciiTheme="majorHAnsi" w:hAnsiTheme="majorHAnsi" w:cstheme="majorHAnsi"/>
          <w:sz w:val="19"/>
          <w:szCs w:val="19"/>
          <w:lang w:val="en-US"/>
        </w:rPr>
        <w:t xml:space="preserve"> </w:t>
      </w:r>
    </w:p>
    <w:p w14:paraId="21AE295A"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317522E2" w14:textId="77777777" w:rsidR="00EF1EAF" w:rsidRPr="0032246D" w:rsidRDefault="00EF1EAF" w:rsidP="00EF1EAF">
      <w:pPr>
        <w:autoSpaceDE w:val="0"/>
        <w:autoSpaceDN w:val="0"/>
        <w:adjustRightInd w:val="0"/>
        <w:spacing w:line="360" w:lineRule="auto"/>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Responsibilities of Management and Those Charged with Governance for the preparation of Financial Statements</w:t>
      </w:r>
    </w:p>
    <w:p w14:paraId="75C812FD"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178D5A6A" w14:textId="09AFD3F8"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Management is responsible for the preparation and fair presentation of the financial statements in accordance with Thai Financial Reporting Standards, and for such internal control as management determines necessary to enable the preparation of financial statements that are free from material misstatement, whether due to fraud or error. </w:t>
      </w:r>
    </w:p>
    <w:p w14:paraId="24D25A91"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34E94026" w14:textId="3963991A"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In preparing the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66F08466" w14:textId="77777777" w:rsidR="002E2D6B" w:rsidRDefault="002E2D6B" w:rsidP="00881170">
      <w:pPr>
        <w:autoSpaceDE w:val="0"/>
        <w:autoSpaceDN w:val="0"/>
        <w:spacing w:after="0" w:line="360" w:lineRule="auto"/>
        <w:ind w:left="258"/>
        <w:jc w:val="thaiDistribute"/>
        <w:rPr>
          <w:rFonts w:asciiTheme="majorHAnsi" w:hAnsiTheme="majorHAnsi" w:cstheme="majorHAnsi"/>
          <w:sz w:val="19"/>
          <w:szCs w:val="19"/>
          <w:lang w:val="en-US"/>
        </w:rPr>
      </w:pPr>
    </w:p>
    <w:p w14:paraId="10DEF62A" w14:textId="4D739A3A" w:rsidR="00EF1EAF"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Those charged with governance are responsible for overseeing the Group’s financial reporting process. </w:t>
      </w:r>
    </w:p>
    <w:p w14:paraId="54965E15" w14:textId="7A5386DE" w:rsidR="00EF1EAF" w:rsidRDefault="00EF1EAF"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7169DB3F" w14:textId="042207F9" w:rsidR="00881170" w:rsidRDefault="00881170"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28988A4A" w14:textId="7EFE0083" w:rsidR="002C73E2" w:rsidRDefault="002C73E2"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7166944D" w14:textId="075451C6" w:rsidR="002C73E2" w:rsidRDefault="002C73E2"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48D1DFE3" w14:textId="3686E1D4" w:rsidR="002C73E2" w:rsidRDefault="002C73E2"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6F925E1A" w14:textId="77777777" w:rsidR="002C73E2" w:rsidRDefault="002C73E2"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5C50E08D" w14:textId="77777777" w:rsidR="00881170" w:rsidRPr="0032246D" w:rsidRDefault="00881170" w:rsidP="00881170">
      <w:pPr>
        <w:autoSpaceDE w:val="0"/>
        <w:autoSpaceDN w:val="0"/>
        <w:spacing w:after="0" w:line="360" w:lineRule="auto"/>
        <w:ind w:left="258"/>
        <w:jc w:val="thaiDistribute"/>
        <w:rPr>
          <w:rFonts w:asciiTheme="majorHAnsi" w:hAnsiTheme="majorHAnsi" w:cstheme="majorHAnsi"/>
          <w:i/>
          <w:iCs/>
          <w:sz w:val="19"/>
          <w:szCs w:val="19"/>
          <w:lang w:val="en-US"/>
        </w:rPr>
      </w:pPr>
    </w:p>
    <w:p w14:paraId="27A427A5" w14:textId="77777777" w:rsidR="00EF1EAF" w:rsidRPr="0032246D" w:rsidRDefault="00EF1EAF" w:rsidP="00EF1EAF">
      <w:pPr>
        <w:autoSpaceDE w:val="0"/>
        <w:autoSpaceDN w:val="0"/>
        <w:adjustRightInd w:val="0"/>
        <w:spacing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lastRenderedPageBreak/>
        <w:t xml:space="preserve">Auditor’s Responsibilities for the Audit of the Financial Statements </w:t>
      </w:r>
    </w:p>
    <w:p w14:paraId="5F919A8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FE18EEB" w14:textId="073701E3"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B34CCD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73A29371" w14:textId="77777777"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rtl/>
          <w:cs/>
        </w:rPr>
      </w:pPr>
      <w:r w:rsidRPr="0032246D">
        <w:rPr>
          <w:rFonts w:asciiTheme="majorHAnsi" w:hAnsiTheme="majorHAnsi" w:cstheme="majorHAnsi"/>
          <w:sz w:val="19"/>
          <w:szCs w:val="19"/>
          <w:lang w:val="en-US"/>
        </w:rPr>
        <w:t xml:space="preserve">As part of an audit in accordance with Thai Standards on Auditing, I exercise professional judgment and maintain professional skepticism throughout the audit. </w:t>
      </w:r>
      <w:r w:rsidRPr="0032246D">
        <w:rPr>
          <w:rFonts w:asciiTheme="majorHAnsi" w:hAnsiTheme="majorHAnsi" w:cstheme="majorHAnsi"/>
          <w:sz w:val="19"/>
          <w:szCs w:val="19"/>
          <w:rtl/>
          <w:cs/>
        </w:rPr>
        <w:t xml:space="preserve">I also: </w:t>
      </w:r>
    </w:p>
    <w:p w14:paraId="3EFF3942" w14:textId="6450086D" w:rsidR="00EF1EAF" w:rsidRPr="0032246D" w:rsidRDefault="00EF1EAF" w:rsidP="00EF1EAF">
      <w:pPr>
        <w:pStyle w:val="ListParagraph"/>
        <w:numPr>
          <w:ilvl w:val="0"/>
          <w:numId w:val="45"/>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60445F55" w14:textId="77777777" w:rsidR="00EF1EAF" w:rsidRPr="0032246D" w:rsidRDefault="00EF1EAF" w:rsidP="00EF1EAF">
      <w:pPr>
        <w:pStyle w:val="ListParagraph"/>
        <w:numPr>
          <w:ilvl w:val="0"/>
          <w:numId w:val="45"/>
        </w:numPr>
        <w:autoSpaceDE w:val="0"/>
        <w:autoSpaceDN w:val="0"/>
        <w:adjustRightInd w:val="0"/>
        <w:spacing w:after="0" w:line="360" w:lineRule="auto"/>
        <w:jc w:val="both"/>
        <w:rPr>
          <w:rFonts w:asciiTheme="majorHAnsi" w:eastAsia="Calibri" w:hAnsiTheme="majorHAnsi" w:cstheme="majorHAnsi"/>
          <w:sz w:val="19"/>
          <w:szCs w:val="19"/>
          <w:lang w:val="en-US"/>
        </w:rPr>
      </w:pPr>
      <w:r w:rsidRPr="0032246D">
        <w:rPr>
          <w:rFonts w:asciiTheme="majorHAnsi" w:hAnsiTheme="majorHAnsi" w:cstheme="majorHAnsi"/>
          <w:sz w:val="19"/>
          <w:szCs w:val="19"/>
          <w:lang w:val="en-US"/>
        </w:rPr>
        <w:t>Obtain an understanding of internal control relevant to the audit in order to design audit procedures that are appropriate in the circumstances, but not for the purpose of expressing an opinion on the effectiveness of the Group’s internal control.</w:t>
      </w:r>
    </w:p>
    <w:p w14:paraId="3A0A2F39" w14:textId="77777777" w:rsidR="00EF1EAF" w:rsidRDefault="00EF1EAF" w:rsidP="00EF1EAF">
      <w:pPr>
        <w:pStyle w:val="ListParagraph"/>
        <w:numPr>
          <w:ilvl w:val="0"/>
          <w:numId w:val="45"/>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appropriateness of accounting policies used and the reasonableness of accounting estimates and related disclosures made by management. </w:t>
      </w:r>
    </w:p>
    <w:p w14:paraId="01024826" w14:textId="45833C6D" w:rsidR="00EF1EAF" w:rsidRDefault="00EF1EAF" w:rsidP="00EF1EAF">
      <w:pPr>
        <w:pStyle w:val="ListParagraph"/>
        <w:numPr>
          <w:ilvl w:val="0"/>
          <w:numId w:val="45"/>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I conclude that a material uncertainty exists, I am required to draw attention in my auditor’s report to the related disclosures in the financial statements or, if such disclosures are inadequate, to modify my opinion. My conclusions are based on the audit evidence obtained up to the date of my auditor’s report. However, future events or conditions may cause the Group to cease to continue as a going concern. </w:t>
      </w:r>
    </w:p>
    <w:p w14:paraId="56B1FDC2" w14:textId="767C24CE" w:rsidR="009A7F4D" w:rsidRDefault="009A7F4D" w:rsidP="009A7F4D">
      <w:pPr>
        <w:autoSpaceDE w:val="0"/>
        <w:autoSpaceDN w:val="0"/>
        <w:adjustRightInd w:val="0"/>
        <w:spacing w:after="0" w:line="360" w:lineRule="auto"/>
        <w:jc w:val="both"/>
        <w:rPr>
          <w:rFonts w:asciiTheme="majorHAnsi" w:hAnsiTheme="majorHAnsi" w:cstheme="majorHAnsi"/>
          <w:sz w:val="19"/>
          <w:szCs w:val="19"/>
          <w:lang w:val="en-US"/>
        </w:rPr>
      </w:pPr>
    </w:p>
    <w:p w14:paraId="139CE840" w14:textId="0586AB02" w:rsidR="009A7F4D" w:rsidRDefault="009A7F4D" w:rsidP="009A7F4D">
      <w:pPr>
        <w:autoSpaceDE w:val="0"/>
        <w:autoSpaceDN w:val="0"/>
        <w:adjustRightInd w:val="0"/>
        <w:spacing w:after="0" w:line="360" w:lineRule="auto"/>
        <w:jc w:val="both"/>
        <w:rPr>
          <w:rFonts w:asciiTheme="majorHAnsi" w:hAnsiTheme="majorHAnsi" w:cstheme="majorHAnsi"/>
          <w:sz w:val="19"/>
          <w:szCs w:val="19"/>
          <w:lang w:val="en-US"/>
        </w:rPr>
      </w:pPr>
    </w:p>
    <w:p w14:paraId="1A5B1158" w14:textId="32B5177D" w:rsidR="009A7F4D" w:rsidRDefault="009A7F4D" w:rsidP="009A7F4D">
      <w:pPr>
        <w:autoSpaceDE w:val="0"/>
        <w:autoSpaceDN w:val="0"/>
        <w:adjustRightInd w:val="0"/>
        <w:spacing w:after="0" w:line="360" w:lineRule="auto"/>
        <w:jc w:val="both"/>
        <w:rPr>
          <w:rFonts w:asciiTheme="majorHAnsi" w:hAnsiTheme="majorHAnsi" w:cstheme="majorHAnsi"/>
          <w:sz w:val="19"/>
          <w:szCs w:val="19"/>
          <w:lang w:val="en-US"/>
        </w:rPr>
      </w:pPr>
    </w:p>
    <w:p w14:paraId="6852EAED" w14:textId="500B821A" w:rsidR="009A7F4D" w:rsidRDefault="009A7F4D" w:rsidP="009A7F4D">
      <w:pPr>
        <w:autoSpaceDE w:val="0"/>
        <w:autoSpaceDN w:val="0"/>
        <w:adjustRightInd w:val="0"/>
        <w:spacing w:after="0" w:line="360" w:lineRule="auto"/>
        <w:jc w:val="both"/>
        <w:rPr>
          <w:rFonts w:asciiTheme="majorHAnsi" w:hAnsiTheme="majorHAnsi" w:cstheme="majorHAnsi"/>
          <w:sz w:val="19"/>
          <w:szCs w:val="19"/>
          <w:lang w:val="en-US"/>
        </w:rPr>
      </w:pPr>
    </w:p>
    <w:p w14:paraId="648B10E3" w14:textId="4C53857C" w:rsidR="009A7F4D" w:rsidRDefault="009A7F4D" w:rsidP="009A7F4D">
      <w:pPr>
        <w:autoSpaceDE w:val="0"/>
        <w:autoSpaceDN w:val="0"/>
        <w:adjustRightInd w:val="0"/>
        <w:spacing w:after="0" w:line="360" w:lineRule="auto"/>
        <w:jc w:val="both"/>
        <w:rPr>
          <w:rFonts w:asciiTheme="majorHAnsi" w:hAnsiTheme="majorHAnsi" w:cstheme="majorHAnsi"/>
          <w:sz w:val="19"/>
          <w:szCs w:val="19"/>
          <w:lang w:val="en-US"/>
        </w:rPr>
      </w:pPr>
    </w:p>
    <w:p w14:paraId="3B34C954" w14:textId="731C68D7" w:rsidR="00F0514C" w:rsidRDefault="00F0514C" w:rsidP="009A7F4D">
      <w:pPr>
        <w:autoSpaceDE w:val="0"/>
        <w:autoSpaceDN w:val="0"/>
        <w:adjustRightInd w:val="0"/>
        <w:spacing w:after="0" w:line="360" w:lineRule="auto"/>
        <w:jc w:val="both"/>
        <w:rPr>
          <w:rFonts w:asciiTheme="majorHAnsi" w:hAnsiTheme="majorHAnsi" w:cstheme="majorHAnsi"/>
          <w:sz w:val="19"/>
          <w:szCs w:val="19"/>
          <w:lang w:val="en-US"/>
        </w:rPr>
      </w:pPr>
    </w:p>
    <w:p w14:paraId="23EEEB54" w14:textId="1FC6CCA9" w:rsidR="00F0514C" w:rsidRDefault="00F0514C" w:rsidP="009A7F4D">
      <w:pPr>
        <w:autoSpaceDE w:val="0"/>
        <w:autoSpaceDN w:val="0"/>
        <w:adjustRightInd w:val="0"/>
        <w:spacing w:after="0" w:line="360" w:lineRule="auto"/>
        <w:jc w:val="both"/>
        <w:rPr>
          <w:rFonts w:asciiTheme="majorHAnsi" w:hAnsiTheme="majorHAnsi" w:cstheme="majorHAnsi"/>
          <w:sz w:val="19"/>
          <w:szCs w:val="19"/>
          <w:lang w:val="en-US"/>
        </w:rPr>
      </w:pPr>
    </w:p>
    <w:p w14:paraId="28A62C63" w14:textId="0A01A643" w:rsidR="00F0514C" w:rsidRDefault="00F0514C" w:rsidP="009A7F4D">
      <w:pPr>
        <w:autoSpaceDE w:val="0"/>
        <w:autoSpaceDN w:val="0"/>
        <w:adjustRightInd w:val="0"/>
        <w:spacing w:after="0" w:line="360" w:lineRule="auto"/>
        <w:jc w:val="both"/>
        <w:rPr>
          <w:rFonts w:asciiTheme="majorHAnsi" w:hAnsiTheme="majorHAnsi" w:cstheme="majorHAnsi"/>
          <w:sz w:val="19"/>
          <w:szCs w:val="19"/>
          <w:lang w:val="en-US"/>
        </w:rPr>
      </w:pPr>
    </w:p>
    <w:p w14:paraId="7C541913" w14:textId="4152EBB5" w:rsidR="00F0514C" w:rsidRDefault="00F0514C" w:rsidP="009A7F4D">
      <w:pPr>
        <w:autoSpaceDE w:val="0"/>
        <w:autoSpaceDN w:val="0"/>
        <w:adjustRightInd w:val="0"/>
        <w:spacing w:after="0" w:line="360" w:lineRule="auto"/>
        <w:jc w:val="both"/>
        <w:rPr>
          <w:rFonts w:asciiTheme="majorHAnsi" w:hAnsiTheme="majorHAnsi" w:cstheme="majorHAnsi"/>
          <w:sz w:val="19"/>
          <w:szCs w:val="19"/>
          <w:lang w:val="en-US"/>
        </w:rPr>
      </w:pPr>
    </w:p>
    <w:p w14:paraId="252957B2" w14:textId="3E161271" w:rsidR="00F0514C" w:rsidRDefault="00F0514C" w:rsidP="009A7F4D">
      <w:pPr>
        <w:autoSpaceDE w:val="0"/>
        <w:autoSpaceDN w:val="0"/>
        <w:adjustRightInd w:val="0"/>
        <w:spacing w:after="0" w:line="360" w:lineRule="auto"/>
        <w:jc w:val="both"/>
        <w:rPr>
          <w:rFonts w:asciiTheme="majorHAnsi" w:hAnsiTheme="majorHAnsi" w:cstheme="majorHAnsi"/>
          <w:sz w:val="19"/>
          <w:szCs w:val="19"/>
          <w:lang w:val="en-US"/>
        </w:rPr>
      </w:pPr>
    </w:p>
    <w:p w14:paraId="46D72D3C" w14:textId="77777777" w:rsidR="00F0514C" w:rsidRPr="009A7F4D" w:rsidRDefault="00F0514C" w:rsidP="009A7F4D">
      <w:pPr>
        <w:autoSpaceDE w:val="0"/>
        <w:autoSpaceDN w:val="0"/>
        <w:adjustRightInd w:val="0"/>
        <w:spacing w:after="0" w:line="360" w:lineRule="auto"/>
        <w:jc w:val="both"/>
        <w:rPr>
          <w:rFonts w:asciiTheme="majorHAnsi" w:hAnsiTheme="majorHAnsi" w:cstheme="majorHAnsi"/>
          <w:sz w:val="19"/>
          <w:szCs w:val="19"/>
          <w:lang w:val="en-US"/>
        </w:rPr>
      </w:pPr>
    </w:p>
    <w:p w14:paraId="4F967CDF" w14:textId="6B1C9256" w:rsidR="00EF1EAF" w:rsidRDefault="00EF1EAF" w:rsidP="00EF1EAF">
      <w:pPr>
        <w:pStyle w:val="ListParagraph"/>
        <w:numPr>
          <w:ilvl w:val="0"/>
          <w:numId w:val="45"/>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Evaluate the overal</w:t>
      </w:r>
      <w:bookmarkStart w:id="2" w:name="_GoBack"/>
      <w:bookmarkEnd w:id="2"/>
      <w:r w:rsidRPr="0032246D">
        <w:rPr>
          <w:rFonts w:asciiTheme="majorHAnsi" w:hAnsiTheme="majorHAnsi" w:cstheme="majorHAnsi"/>
          <w:sz w:val="19"/>
          <w:szCs w:val="19"/>
          <w:lang w:val="en-US"/>
        </w:rPr>
        <w:t xml:space="preserve">l presentation, structure and content of the consolidated and separate financial statements, including the disclosures, and whether the financial statements represent the underlying transactions and events in a manner that achieves fair presentation. </w:t>
      </w:r>
    </w:p>
    <w:p w14:paraId="5B415126" w14:textId="4613AE74" w:rsidR="00EF1EAF" w:rsidRPr="009A7F4D" w:rsidRDefault="00EF1EAF" w:rsidP="00EF1EAF">
      <w:pPr>
        <w:pStyle w:val="ListParagraph"/>
        <w:numPr>
          <w:ilvl w:val="0"/>
          <w:numId w:val="45"/>
        </w:numPr>
        <w:autoSpaceDE w:val="0"/>
        <w:autoSpaceDN w:val="0"/>
        <w:adjustRightInd w:val="0"/>
        <w:spacing w:after="0"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Obtain sufficient appropriate audit evidence regarding the financial information of the entities or business activities within the Group to express an opinion on the consolidated financial statements. I am responsible for the direction, supervision and performance of the group audit.</w:t>
      </w:r>
      <w:r w:rsidR="00F232E9">
        <w:rPr>
          <w:rFonts w:asciiTheme="majorHAnsi" w:hAnsiTheme="majorHAnsi" w:cstheme="majorHAnsi"/>
          <w:sz w:val="19"/>
          <w:szCs w:val="19"/>
          <w:lang w:val="en-US"/>
        </w:rPr>
        <w:t xml:space="preserve"> I remain solely responsible for my audit opinion.</w:t>
      </w:r>
    </w:p>
    <w:p w14:paraId="7C1877BF" w14:textId="77777777" w:rsidR="009A7F4D" w:rsidRPr="0032246D" w:rsidRDefault="009A7F4D" w:rsidP="009A7F4D">
      <w:pPr>
        <w:pStyle w:val="ListParagraph"/>
        <w:autoSpaceDE w:val="0"/>
        <w:autoSpaceDN w:val="0"/>
        <w:adjustRightInd w:val="0"/>
        <w:spacing w:after="0" w:line="360" w:lineRule="auto"/>
        <w:ind w:left="340"/>
        <w:jc w:val="both"/>
        <w:rPr>
          <w:rFonts w:asciiTheme="majorHAnsi" w:hAnsiTheme="majorHAnsi" w:cstheme="majorHAnsi"/>
          <w:sz w:val="19"/>
          <w:szCs w:val="19"/>
          <w:rtl/>
          <w:cs/>
        </w:rPr>
      </w:pPr>
    </w:p>
    <w:p w14:paraId="572E2591" w14:textId="188058FA" w:rsidR="00881170"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EE22226" w14:textId="77777777" w:rsidR="00881170" w:rsidRDefault="00881170" w:rsidP="00881170">
      <w:pPr>
        <w:autoSpaceDE w:val="0"/>
        <w:autoSpaceDN w:val="0"/>
        <w:spacing w:after="0" w:line="360" w:lineRule="auto"/>
        <w:ind w:left="258"/>
        <w:jc w:val="thaiDistribute"/>
        <w:rPr>
          <w:rFonts w:asciiTheme="majorHAnsi" w:hAnsiTheme="majorHAnsi" w:cstheme="majorHAnsi"/>
          <w:sz w:val="19"/>
          <w:szCs w:val="19"/>
          <w:lang w:val="en-US"/>
        </w:rPr>
      </w:pPr>
    </w:p>
    <w:p w14:paraId="739412EA" w14:textId="645CCCEA"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 </w:t>
      </w:r>
    </w:p>
    <w:p w14:paraId="3EFE94EE" w14:textId="77777777" w:rsidR="001C6D5C" w:rsidRPr="0032246D" w:rsidRDefault="001C6D5C" w:rsidP="00881170">
      <w:pPr>
        <w:autoSpaceDE w:val="0"/>
        <w:autoSpaceDN w:val="0"/>
        <w:spacing w:after="0" w:line="360" w:lineRule="auto"/>
        <w:ind w:left="258"/>
        <w:jc w:val="thaiDistribute"/>
        <w:rPr>
          <w:rFonts w:asciiTheme="majorHAnsi" w:hAnsiTheme="majorHAnsi" w:cstheme="majorHAnsi"/>
          <w:sz w:val="19"/>
          <w:szCs w:val="19"/>
          <w:lang w:val="en-US"/>
        </w:rPr>
      </w:pPr>
    </w:p>
    <w:p w14:paraId="47A43C63" w14:textId="73AE01B1"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From the matters communicated with those charged with governance, I determine those matters that were of most significance in the audit of the financial statements of the current period and are therefore the key audit matters.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w:t>
      </w:r>
    </w:p>
    <w:p w14:paraId="02AD7836" w14:textId="77777777"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3E965B7" w14:textId="77777777" w:rsidR="001C6D5C" w:rsidRPr="0032246D" w:rsidRDefault="001C6D5C" w:rsidP="00881170">
      <w:pPr>
        <w:autoSpaceDE w:val="0"/>
        <w:autoSpaceDN w:val="0"/>
        <w:spacing w:after="0" w:line="360" w:lineRule="auto"/>
        <w:ind w:left="258"/>
        <w:jc w:val="thaiDistribute"/>
        <w:rPr>
          <w:rFonts w:asciiTheme="majorHAnsi" w:hAnsiTheme="majorHAnsi" w:cstheme="majorHAnsi"/>
          <w:sz w:val="19"/>
          <w:szCs w:val="19"/>
          <w:lang w:val="en-US"/>
        </w:rPr>
      </w:pPr>
    </w:p>
    <w:p w14:paraId="3BEFFCDE"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C4A3E6" w14:textId="77777777" w:rsidR="00EF1EAF" w:rsidRPr="0032246D" w:rsidRDefault="00EF1EAF" w:rsidP="00EF1EAF">
      <w:pPr>
        <w:spacing w:line="360" w:lineRule="auto"/>
        <w:jc w:val="thaiDistribute"/>
        <w:rPr>
          <w:rFonts w:asciiTheme="majorHAnsi" w:hAnsiTheme="majorHAnsi" w:cstheme="majorHAnsi"/>
          <w:b/>
          <w:bCs/>
          <w:sz w:val="19"/>
          <w:szCs w:val="19"/>
        </w:rPr>
      </w:pPr>
      <w:r w:rsidRPr="0032246D">
        <w:rPr>
          <w:rFonts w:asciiTheme="majorHAnsi" w:hAnsiTheme="majorHAnsi" w:cstheme="majorHAnsi"/>
          <w:b/>
          <w:bCs/>
          <w:sz w:val="19"/>
          <w:szCs w:val="19"/>
          <w:lang w:val="en-US"/>
        </w:rPr>
        <w:t xml:space="preserve">Mr. Somckid Tiatragul </w:t>
      </w:r>
    </w:p>
    <w:p w14:paraId="12D05A77"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Certified Public Accountant</w:t>
      </w:r>
    </w:p>
    <w:p w14:paraId="5E2B4BA4"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Registration No. 2785</w:t>
      </w:r>
    </w:p>
    <w:p w14:paraId="3E01B1B3" w14:textId="77777777" w:rsidR="00EF1EAF" w:rsidRPr="0032246D" w:rsidRDefault="00EF1EAF" w:rsidP="00EF1EAF">
      <w:pPr>
        <w:pStyle w:val="RNormal"/>
        <w:spacing w:line="360" w:lineRule="auto"/>
        <w:rPr>
          <w:rFonts w:asciiTheme="majorHAnsi" w:hAnsiTheme="majorHAnsi" w:cstheme="majorHAnsi"/>
          <w:color w:val="0000FF"/>
          <w:sz w:val="19"/>
          <w:szCs w:val="19"/>
        </w:rPr>
      </w:pPr>
    </w:p>
    <w:p w14:paraId="620AFD63"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Grant Thornton Limited</w:t>
      </w:r>
    </w:p>
    <w:p w14:paraId="5AA7A53E" w14:textId="77777777" w:rsidR="00EF1EAF" w:rsidRPr="004B6386" w:rsidRDefault="00EF1EAF" w:rsidP="00EF1EAF">
      <w:pPr>
        <w:pStyle w:val="RNormal"/>
        <w:spacing w:line="360" w:lineRule="auto"/>
        <w:rPr>
          <w:rFonts w:asciiTheme="majorHAnsi" w:hAnsiTheme="majorHAnsi" w:cstheme="majorHAnsi"/>
          <w:sz w:val="19"/>
          <w:szCs w:val="19"/>
        </w:rPr>
      </w:pPr>
      <w:r w:rsidRPr="004B6386">
        <w:rPr>
          <w:rFonts w:asciiTheme="majorHAnsi" w:hAnsiTheme="majorHAnsi" w:cstheme="majorHAnsi"/>
          <w:sz w:val="19"/>
          <w:szCs w:val="19"/>
        </w:rPr>
        <w:t>Bangkok</w:t>
      </w:r>
    </w:p>
    <w:p w14:paraId="6C7B130A" w14:textId="70EF51D4" w:rsidR="00EF1EAF" w:rsidRPr="0032246D" w:rsidRDefault="00EF1EAF" w:rsidP="00EF1EAF">
      <w:pPr>
        <w:pStyle w:val="RNormal"/>
        <w:spacing w:line="360" w:lineRule="auto"/>
        <w:rPr>
          <w:rFonts w:asciiTheme="majorHAnsi" w:hAnsiTheme="majorHAnsi" w:cstheme="majorHAnsi"/>
          <w:sz w:val="19"/>
          <w:szCs w:val="19"/>
        </w:rPr>
      </w:pPr>
      <w:r w:rsidRPr="004B6386">
        <w:rPr>
          <w:rFonts w:asciiTheme="majorHAnsi" w:hAnsiTheme="majorHAnsi" w:cstheme="majorHAnsi"/>
          <w:sz w:val="19"/>
          <w:szCs w:val="19"/>
        </w:rPr>
        <w:t>2</w:t>
      </w:r>
      <w:r w:rsidR="000413D4">
        <w:rPr>
          <w:rFonts w:asciiTheme="majorHAnsi" w:hAnsiTheme="majorHAnsi" w:cstheme="majorHAnsi"/>
          <w:sz w:val="19"/>
          <w:szCs w:val="19"/>
        </w:rPr>
        <w:t>8</w:t>
      </w:r>
      <w:r w:rsidRPr="004B6386">
        <w:rPr>
          <w:rFonts w:asciiTheme="majorHAnsi" w:hAnsiTheme="majorHAnsi" w:cstheme="majorHAnsi"/>
          <w:sz w:val="19"/>
          <w:szCs w:val="19"/>
        </w:rPr>
        <w:t xml:space="preserve"> February 201</w:t>
      </w:r>
      <w:r w:rsidR="0013283E" w:rsidRPr="004B6386">
        <w:rPr>
          <w:rFonts w:asciiTheme="majorHAnsi" w:hAnsiTheme="majorHAnsi" w:cstheme="majorHAnsi"/>
          <w:sz w:val="19"/>
          <w:szCs w:val="19"/>
        </w:rPr>
        <w:t>9</w:t>
      </w:r>
    </w:p>
    <w:p w14:paraId="48964677" w14:textId="77777777" w:rsidR="00D15EA5" w:rsidRPr="0032246D" w:rsidRDefault="00D15EA5" w:rsidP="00EF1EAF">
      <w:pPr>
        <w:spacing w:after="0"/>
        <w:jc w:val="both"/>
        <w:rPr>
          <w:sz w:val="19"/>
          <w:szCs w:val="19"/>
          <w:lang w:val="en-US"/>
        </w:rPr>
      </w:pPr>
    </w:p>
    <w:sectPr w:rsidR="00D15EA5" w:rsidRPr="0032246D" w:rsidSect="008719C2">
      <w:headerReference w:type="even" r:id="rId11"/>
      <w:headerReference w:type="default" r:id="rId12"/>
      <w:headerReference w:type="first" r:id="rId13"/>
      <w:pgSz w:w="11907" w:h="16840" w:code="9"/>
      <w:pgMar w:top="1985" w:right="913" w:bottom="510" w:left="2665" w:header="743" w:footer="1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1C69" w14:textId="77777777" w:rsidR="002524F5" w:rsidRDefault="002524F5">
      <w:r>
        <w:separator/>
      </w:r>
    </w:p>
  </w:endnote>
  <w:endnote w:type="continuationSeparator" w:id="0">
    <w:p w14:paraId="2E88B773" w14:textId="77777777" w:rsidR="002524F5" w:rsidRDefault="0025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wallia New">
    <w:altName w:val="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8F10" w14:textId="77777777" w:rsidR="002524F5" w:rsidRDefault="002524F5">
      <w:bookmarkStart w:id="0" w:name="_Hlk482348182"/>
      <w:bookmarkEnd w:id="0"/>
      <w:r>
        <w:separator/>
      </w:r>
    </w:p>
  </w:footnote>
  <w:footnote w:type="continuationSeparator" w:id="0">
    <w:p w14:paraId="5C8A2CF2" w14:textId="77777777" w:rsidR="002524F5" w:rsidRDefault="0025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7801" w14:textId="77777777" w:rsidR="00791F3E" w:rsidRDefault="00791F3E"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40E9" w14:textId="2F22D8CF" w:rsidR="00791F3E" w:rsidRPr="0079502D" w:rsidRDefault="00791F3E"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6923" w14:textId="77777777" w:rsidR="00791F3E" w:rsidRDefault="00791F3E" w:rsidP="00F0514C">
    <w:pPr>
      <w:pStyle w:val="Header"/>
      <w:tabs>
        <w:tab w:val="clear" w:pos="8562"/>
        <w:tab w:val="left" w:pos="5328"/>
      </w:tabs>
      <w:spacing w:after="1418"/>
      <w:ind w:firstLine="720"/>
    </w:pPr>
  </w:p>
  <w:p w14:paraId="46BD1ED5" w14:textId="38129D77" w:rsidR="00791F3E" w:rsidRPr="00EF1EAF" w:rsidRDefault="00EF1EAF" w:rsidP="00CD4D4E">
    <w:pPr>
      <w:pStyle w:val="Header"/>
      <w:tabs>
        <w:tab w:val="clear" w:pos="8562"/>
        <w:tab w:val="left" w:pos="5328"/>
      </w:tabs>
      <w:spacing w:line="276" w:lineRule="auto"/>
      <w:rPr>
        <w:rFonts w:asciiTheme="majorHAnsi" w:hAnsiTheme="majorHAnsi" w:cstheme="majorHAnsi"/>
        <w:color w:val="4F2D7F"/>
        <w:sz w:val="40"/>
        <w:szCs w:val="40"/>
        <w:lang w:val="en-US" w:bidi="th-TH"/>
      </w:rPr>
    </w:pPr>
    <w:r w:rsidRPr="00EF1EAF">
      <w:rPr>
        <w:rFonts w:ascii="Garamond" w:hAnsi="Garamond"/>
        <w:sz w:val="28"/>
        <w:szCs w:val="28"/>
      </w:rPr>
      <w:t xml:space="preserve"> </w:t>
    </w:r>
    <w:r w:rsidRPr="00EF1EAF">
      <w:rPr>
        <w:rFonts w:asciiTheme="majorHAnsi" w:hAnsiTheme="majorHAnsi" w:cstheme="majorHAnsi"/>
        <w:color w:val="000000" w:themeColor="text1"/>
        <w:sz w:val="28"/>
        <w:szCs w:val="28"/>
      </w:rPr>
      <w:t>INDEPENDENT AUDITOR’S REPORT</w:t>
    </w:r>
  </w:p>
  <w:p w14:paraId="5B5A1995" w14:textId="77777777" w:rsidR="00791F3E" w:rsidRDefault="00791F3E" w:rsidP="00D15EA5">
    <w:pPr>
      <w:pStyle w:val="Header"/>
    </w:pPr>
    <w:bookmarkStart w:id="3" w:name="Footer3_tbl"/>
    <w:bookmarkEnd w:id="3"/>
  </w:p>
  <w:p w14:paraId="2A94419F" w14:textId="3D2FB526" w:rsidR="00791F3E" w:rsidRDefault="00791F3E" w:rsidP="00D96128">
    <w:pPr>
      <w:pStyle w:val="Header"/>
      <w:jc w:val="right"/>
    </w:pPr>
    <w:r>
      <w:rPr>
        <w:noProof/>
        <w:lang w:eastAsia="en-GB"/>
      </w:rPr>
      <mc:AlternateContent>
        <mc:Choice Requires="wps">
          <w:drawing>
            <wp:anchor distT="0" distB="0" distL="114300" distR="114300" simplePos="0" relativeHeight="251670528" behindDoc="1" locked="0" layoutInCell="1" allowOverlap="1" wp14:anchorId="7F67578C" wp14:editId="6A454141">
              <wp:simplePos x="0" y="0"/>
              <wp:positionH relativeFrom="page">
                <wp:posOffset>489585</wp:posOffset>
              </wp:positionH>
              <wp:positionV relativeFrom="page">
                <wp:posOffset>3561715</wp:posOffset>
              </wp:positionV>
              <wp:extent cx="982800" cy="6840000"/>
              <wp:effectExtent l="0" t="0" r="8255" b="1841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800" cy="68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22"/>
                          </w:tblGrid>
                          <w:tr w:rsidR="00791F3E" w:rsidRPr="0069090D" w14:paraId="4CEE92C1" w14:textId="77777777" w:rsidTr="00812938">
                            <w:trPr>
                              <w:trHeight w:hRule="exact" w:val="10773"/>
                            </w:trPr>
                            <w:tc>
                              <w:tcPr>
                                <w:tcW w:w="1621" w:type="dxa"/>
                                <w:vAlign w:val="bottom"/>
                              </w:tcPr>
                              <w:p w14:paraId="3C52BB77" w14:textId="77777777" w:rsidR="00791F3E" w:rsidRPr="0069090D" w:rsidRDefault="00791F3E" w:rsidP="008C49AE">
                                <w:pPr>
                                  <w:pStyle w:val="LetterFooter"/>
                                </w:pPr>
                                <w:bookmarkStart w:id="4" w:name="Partners"/>
                                <w:bookmarkStart w:id="5" w:name="Endorsements_tbl"/>
                                <w:bookmarkEnd w:id="4"/>
                              </w:p>
                            </w:tc>
                          </w:tr>
                          <w:bookmarkEnd w:id="5"/>
                        </w:tbl>
                        <w:p w14:paraId="7780DDBC" w14:textId="77777777" w:rsidR="00791F3E" w:rsidRDefault="00791F3E" w:rsidP="005F4D62"/>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7578C" id="_x0000_t202" coordsize="21600,21600" o:spt="202" path="m,l,21600r21600,l21600,xe">
              <v:stroke joinstyle="miter"/>
              <v:path gradientshapeok="t" o:connecttype="rect"/>
            </v:shapetype>
            <v:shape id="Text Box 7" o:spid="_x0000_s1026" type="#_x0000_t202" style="position:absolute;left:0;text-align:left;margin-left:38.55pt;margin-top:280.45pt;width:77.4pt;height:53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" filled="f" stroked="f">
              <v:textbox inset="0,0,0,0">
                <w:txbxContent>
                  <w:tbl>
                    <w:tblPr>
                      <w:tblStyle w:val="TableGrid"/>
                      <w:tblW w:w="1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622"/>
                    </w:tblGrid>
                    <w:tr w:rsidR="00791F3E" w:rsidRPr="0069090D" w14:paraId="4CEE92C1" w14:textId="77777777" w:rsidTr="00812938">
                      <w:trPr>
                        <w:trHeight w:hRule="exact" w:val="10773"/>
                      </w:trPr>
                      <w:tc>
                        <w:tcPr>
                          <w:tcW w:w="1621" w:type="dxa"/>
                          <w:vAlign w:val="bottom"/>
                        </w:tcPr>
                        <w:p w14:paraId="3C52BB77" w14:textId="77777777" w:rsidR="00791F3E" w:rsidRPr="0069090D" w:rsidRDefault="00791F3E" w:rsidP="008C49AE">
                          <w:pPr>
                            <w:pStyle w:val="LetterFooter"/>
                          </w:pPr>
                          <w:bookmarkStart w:id="6" w:name="Partners"/>
                          <w:bookmarkStart w:id="7" w:name="Endorsements_tbl"/>
                          <w:bookmarkEnd w:id="6"/>
                        </w:p>
                      </w:tc>
                    </w:tr>
                    <w:bookmarkEnd w:id="7"/>
                  </w:tbl>
                  <w:p w14:paraId="7780DDBC" w14:textId="77777777" w:rsidR="00791F3E" w:rsidRDefault="00791F3E" w:rsidP="005F4D6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0B5F66F1"/>
    <w:multiLevelType w:val="hybridMultilevel"/>
    <w:tmpl w:val="7E341900"/>
    <w:lvl w:ilvl="0" w:tplc="4D3A15B0">
      <w:numFmt w:val="bullet"/>
      <w:lvlText w:val="-"/>
      <w:lvlJc w:val="left"/>
      <w:pPr>
        <w:ind w:left="720" w:hanging="360"/>
      </w:pPr>
      <w:rPr>
        <w:rFonts w:ascii="Garamond" w:eastAsia="Times New Roman" w:hAnsi="Garamond"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E54DA"/>
    <w:multiLevelType w:val="hybridMultilevel"/>
    <w:tmpl w:val="B0C29E56"/>
    <w:lvl w:ilvl="0" w:tplc="B644F1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FE0C39"/>
    <w:multiLevelType w:val="hybridMultilevel"/>
    <w:tmpl w:val="85C09508"/>
    <w:lvl w:ilvl="0" w:tplc="FEDE0E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94114"/>
    <w:multiLevelType w:val="hybridMultilevel"/>
    <w:tmpl w:val="5CEE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B320A3C"/>
    <w:multiLevelType w:val="hybridMultilevel"/>
    <w:tmpl w:val="944E00C6"/>
    <w:lvl w:ilvl="0" w:tplc="19C6015C">
      <w:numFmt w:val="bullet"/>
      <w:lvlText w:val="-"/>
      <w:lvlJc w:val="left"/>
      <w:pPr>
        <w:ind w:left="720" w:hanging="360"/>
      </w:pPr>
      <w:rPr>
        <w:rFonts w:ascii="Browallia New" w:eastAsia="Times New Roman" w:hAnsi="Browallia New" w:cs="Browall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4" w15:restartNumberingAfterBreak="0">
    <w:nsid w:val="1DCF42EE"/>
    <w:multiLevelType w:val="hybridMultilevel"/>
    <w:tmpl w:val="F098AB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5B21F8"/>
    <w:multiLevelType w:val="multilevel"/>
    <w:tmpl w:val="FAE6F968"/>
    <w:numStyleLink w:val="GTListBullet"/>
  </w:abstractNum>
  <w:abstractNum w:abstractNumId="16" w15:restartNumberingAfterBreak="0">
    <w:nsid w:val="3185660F"/>
    <w:multiLevelType w:val="singleLevel"/>
    <w:tmpl w:val="DF1CF6E6"/>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5C91C25"/>
    <w:multiLevelType w:val="multilevel"/>
    <w:tmpl w:val="98FC98AC"/>
    <w:numStyleLink w:val="GTListNumber"/>
  </w:abstractNum>
  <w:abstractNum w:abstractNumId="19" w15:restartNumberingAfterBreak="0">
    <w:nsid w:val="3BA976CF"/>
    <w:multiLevelType w:val="multilevel"/>
    <w:tmpl w:val="98FC98AC"/>
    <w:numStyleLink w:val="GTListNumber"/>
  </w:abstractNum>
  <w:abstractNum w:abstractNumId="20"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594F77F4"/>
    <w:multiLevelType w:val="hybridMultilevel"/>
    <w:tmpl w:val="38D47DFC"/>
    <w:lvl w:ilvl="0" w:tplc="E2DE0D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B5E6E"/>
    <w:multiLevelType w:val="multilevel"/>
    <w:tmpl w:val="FAE6F968"/>
    <w:numStyleLink w:val="GTListBullet"/>
  </w:abstractNum>
  <w:abstractNum w:abstractNumId="24"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64294884"/>
    <w:multiLevelType w:val="hybridMultilevel"/>
    <w:tmpl w:val="8AFC5C4A"/>
    <w:lvl w:ilvl="0" w:tplc="E2DE0D5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C8C7D76"/>
    <w:multiLevelType w:val="hybridMultilevel"/>
    <w:tmpl w:val="ED7AE9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71646C9D"/>
    <w:multiLevelType w:val="hybridMultilevel"/>
    <w:tmpl w:val="4E4ADE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52427B5"/>
    <w:multiLevelType w:val="hybridMultilevel"/>
    <w:tmpl w:val="CB04FBA4"/>
    <w:lvl w:ilvl="0" w:tplc="741E30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24C95"/>
    <w:multiLevelType w:val="multilevel"/>
    <w:tmpl w:val="0D561ACA"/>
    <w:numStyleLink w:val="GTNumberedHeadings"/>
  </w:abstractNum>
  <w:num w:numId="1">
    <w:abstractNumId w:val="3"/>
  </w:num>
  <w:num w:numId="2">
    <w:abstractNumId w:val="2"/>
  </w:num>
  <w:num w:numId="3">
    <w:abstractNumId w:val="1"/>
  </w:num>
  <w:num w:numId="4">
    <w:abstractNumId w:val="0"/>
  </w:num>
  <w:num w:numId="5">
    <w:abstractNumId w:val="10"/>
  </w:num>
  <w:num w:numId="6">
    <w:abstractNumId w:val="5"/>
  </w:num>
  <w:num w:numId="7">
    <w:abstractNumId w:val="17"/>
  </w:num>
  <w:num w:numId="8">
    <w:abstractNumId w:val="30"/>
  </w:num>
  <w:num w:numId="9">
    <w:abstractNumId w:val="5"/>
  </w:num>
  <w:num w:numId="10">
    <w:abstractNumId w:val="24"/>
  </w:num>
  <w:num w:numId="11">
    <w:abstractNumId w:val="21"/>
  </w:num>
  <w:num w:numId="12">
    <w:abstractNumId w:val="4"/>
  </w:num>
  <w:num w:numId="13">
    <w:abstractNumId w:val="13"/>
  </w:num>
  <w:num w:numId="14">
    <w:abstractNumId w:val="11"/>
  </w:num>
  <w:num w:numId="15">
    <w:abstractNumId w:val="13"/>
  </w:num>
  <w:num w:numId="16">
    <w:abstractNumId w:val="15"/>
  </w:num>
  <w:num w:numId="17">
    <w:abstractNumId w:val="18"/>
  </w:num>
  <w:num w:numId="18">
    <w:abstractNumId w:val="24"/>
  </w:num>
  <w:num w:numId="19">
    <w:abstractNumId w:val="21"/>
  </w:num>
  <w:num w:numId="20">
    <w:abstractNumId w:val="4"/>
  </w:num>
  <w:num w:numId="21">
    <w:abstractNumId w:val="13"/>
  </w:num>
  <w:num w:numId="22">
    <w:abstractNumId w:val="11"/>
  </w:num>
  <w:num w:numId="23">
    <w:abstractNumId w:val="11"/>
  </w:num>
  <w:num w:numId="24">
    <w:abstractNumId w:val="11"/>
  </w:num>
  <w:num w:numId="25">
    <w:abstractNumId w:val="13"/>
  </w:num>
  <w:num w:numId="26">
    <w:abstractNumId w:val="13"/>
  </w:num>
  <w:num w:numId="27">
    <w:abstractNumId w:val="13"/>
  </w:num>
  <w:num w:numId="28">
    <w:abstractNumId w:val="23"/>
  </w:num>
  <w:num w:numId="29">
    <w:abstractNumId w:val="23"/>
  </w:num>
  <w:num w:numId="30">
    <w:abstractNumId w:val="23"/>
  </w:num>
  <w:num w:numId="31">
    <w:abstractNumId w:val="19"/>
  </w:num>
  <w:num w:numId="32">
    <w:abstractNumId w:val="19"/>
  </w:num>
  <w:num w:numId="33">
    <w:abstractNumId w:val="1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9"/>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4"/>
  </w:num>
  <w:num w:numId="40">
    <w:abstractNumId w:val="8"/>
  </w:num>
  <w:num w:numId="41">
    <w:abstractNumId w:val="7"/>
  </w:num>
  <w:num w:numId="42">
    <w:abstractNumId w:val="22"/>
  </w:num>
  <w:num w:numId="43">
    <w:abstractNumId w:val="25"/>
  </w:num>
  <w:num w:numId="44">
    <w:abstractNumId w:val="20"/>
  </w:num>
  <w:num w:numId="45">
    <w:abstractNumId w:val="16"/>
  </w:num>
  <w:num w:numId="46">
    <w:abstractNumId w:val="9"/>
  </w:num>
  <w:num w:numId="47">
    <w:abstractNumId w:val="6"/>
  </w:num>
  <w:num w:numId="48">
    <w:abstractNumId w:val="26"/>
  </w:num>
  <w:num w:numId="49">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4B8D"/>
    <w:rsid w:val="00011826"/>
    <w:rsid w:val="00012578"/>
    <w:rsid w:val="00015CBA"/>
    <w:rsid w:val="000162B0"/>
    <w:rsid w:val="0003023B"/>
    <w:rsid w:val="00031D17"/>
    <w:rsid w:val="00035C31"/>
    <w:rsid w:val="000413D4"/>
    <w:rsid w:val="00044ACE"/>
    <w:rsid w:val="0004550E"/>
    <w:rsid w:val="00052614"/>
    <w:rsid w:val="000671F6"/>
    <w:rsid w:val="000723F7"/>
    <w:rsid w:val="00074485"/>
    <w:rsid w:val="000753BE"/>
    <w:rsid w:val="000828F1"/>
    <w:rsid w:val="00082F59"/>
    <w:rsid w:val="000905D1"/>
    <w:rsid w:val="00094333"/>
    <w:rsid w:val="00097FAB"/>
    <w:rsid w:val="000A104F"/>
    <w:rsid w:val="000A7553"/>
    <w:rsid w:val="000B65E3"/>
    <w:rsid w:val="000B7090"/>
    <w:rsid w:val="000C405C"/>
    <w:rsid w:val="000C410A"/>
    <w:rsid w:val="000E3219"/>
    <w:rsid w:val="000E5048"/>
    <w:rsid w:val="000E52CE"/>
    <w:rsid w:val="000F1C7B"/>
    <w:rsid w:val="000F3AAB"/>
    <w:rsid w:val="000F6E25"/>
    <w:rsid w:val="001011DF"/>
    <w:rsid w:val="00102B69"/>
    <w:rsid w:val="00107151"/>
    <w:rsid w:val="00112B69"/>
    <w:rsid w:val="00124B8F"/>
    <w:rsid w:val="001316D3"/>
    <w:rsid w:val="0013283E"/>
    <w:rsid w:val="00134B1D"/>
    <w:rsid w:val="00137479"/>
    <w:rsid w:val="00142656"/>
    <w:rsid w:val="001554CD"/>
    <w:rsid w:val="00155A91"/>
    <w:rsid w:val="00160053"/>
    <w:rsid w:val="001613E2"/>
    <w:rsid w:val="0016459D"/>
    <w:rsid w:val="00167017"/>
    <w:rsid w:val="001727EE"/>
    <w:rsid w:val="00184B68"/>
    <w:rsid w:val="0018580D"/>
    <w:rsid w:val="0019210D"/>
    <w:rsid w:val="00192B4F"/>
    <w:rsid w:val="001A3BFB"/>
    <w:rsid w:val="001A3C20"/>
    <w:rsid w:val="001A4C3B"/>
    <w:rsid w:val="001B198C"/>
    <w:rsid w:val="001B7388"/>
    <w:rsid w:val="001C6D5C"/>
    <w:rsid w:val="001D2302"/>
    <w:rsid w:val="001D2814"/>
    <w:rsid w:val="001D581B"/>
    <w:rsid w:val="001D7BB3"/>
    <w:rsid w:val="001E12A6"/>
    <w:rsid w:val="001E498F"/>
    <w:rsid w:val="001F7F05"/>
    <w:rsid w:val="00203CE4"/>
    <w:rsid w:val="00204B0B"/>
    <w:rsid w:val="00206244"/>
    <w:rsid w:val="002119BB"/>
    <w:rsid w:val="0022518C"/>
    <w:rsid w:val="00233375"/>
    <w:rsid w:val="00235B44"/>
    <w:rsid w:val="0023695D"/>
    <w:rsid w:val="002378DD"/>
    <w:rsid w:val="00237A7E"/>
    <w:rsid w:val="00241F16"/>
    <w:rsid w:val="0024436B"/>
    <w:rsid w:val="0024743F"/>
    <w:rsid w:val="00247969"/>
    <w:rsid w:val="002524F5"/>
    <w:rsid w:val="002574B0"/>
    <w:rsid w:val="00260340"/>
    <w:rsid w:val="0026182A"/>
    <w:rsid w:val="00267E56"/>
    <w:rsid w:val="00277EBE"/>
    <w:rsid w:val="00280186"/>
    <w:rsid w:val="002838FB"/>
    <w:rsid w:val="00285249"/>
    <w:rsid w:val="002A252E"/>
    <w:rsid w:val="002B5A4A"/>
    <w:rsid w:val="002C61EC"/>
    <w:rsid w:val="002C623D"/>
    <w:rsid w:val="002C73E2"/>
    <w:rsid w:val="002D5A0F"/>
    <w:rsid w:val="002D6E25"/>
    <w:rsid w:val="002E02F4"/>
    <w:rsid w:val="002E2D6B"/>
    <w:rsid w:val="002E7F1E"/>
    <w:rsid w:val="002F2DEB"/>
    <w:rsid w:val="002F3903"/>
    <w:rsid w:val="002F4A52"/>
    <w:rsid w:val="002F7D90"/>
    <w:rsid w:val="0030026A"/>
    <w:rsid w:val="00303CB4"/>
    <w:rsid w:val="00305173"/>
    <w:rsid w:val="0031039A"/>
    <w:rsid w:val="00310688"/>
    <w:rsid w:val="003157F0"/>
    <w:rsid w:val="00321A76"/>
    <w:rsid w:val="0032246D"/>
    <w:rsid w:val="003254B8"/>
    <w:rsid w:val="00330AA1"/>
    <w:rsid w:val="00335E5B"/>
    <w:rsid w:val="003376AC"/>
    <w:rsid w:val="00342BCF"/>
    <w:rsid w:val="00345D8F"/>
    <w:rsid w:val="00346FD6"/>
    <w:rsid w:val="00354F5D"/>
    <w:rsid w:val="00356A35"/>
    <w:rsid w:val="00362019"/>
    <w:rsid w:val="00362F89"/>
    <w:rsid w:val="003650F3"/>
    <w:rsid w:val="00365ECE"/>
    <w:rsid w:val="003744DA"/>
    <w:rsid w:val="00384904"/>
    <w:rsid w:val="003956A0"/>
    <w:rsid w:val="003A4123"/>
    <w:rsid w:val="003A5AB3"/>
    <w:rsid w:val="003B4CCD"/>
    <w:rsid w:val="003B4DED"/>
    <w:rsid w:val="003C12C5"/>
    <w:rsid w:val="003C27EF"/>
    <w:rsid w:val="003C32E9"/>
    <w:rsid w:val="003C3898"/>
    <w:rsid w:val="003C421A"/>
    <w:rsid w:val="003D2605"/>
    <w:rsid w:val="003D64D6"/>
    <w:rsid w:val="003D738E"/>
    <w:rsid w:val="003E034A"/>
    <w:rsid w:val="003E3E21"/>
    <w:rsid w:val="003F16DE"/>
    <w:rsid w:val="003F3251"/>
    <w:rsid w:val="003F5560"/>
    <w:rsid w:val="003F76C2"/>
    <w:rsid w:val="00416281"/>
    <w:rsid w:val="00422353"/>
    <w:rsid w:val="00426915"/>
    <w:rsid w:val="00433F63"/>
    <w:rsid w:val="00435788"/>
    <w:rsid w:val="004359E6"/>
    <w:rsid w:val="00443CE3"/>
    <w:rsid w:val="00443D15"/>
    <w:rsid w:val="00452E7B"/>
    <w:rsid w:val="004546FA"/>
    <w:rsid w:val="00460896"/>
    <w:rsid w:val="00471CE7"/>
    <w:rsid w:val="00475420"/>
    <w:rsid w:val="004772B0"/>
    <w:rsid w:val="00481FE7"/>
    <w:rsid w:val="004832A5"/>
    <w:rsid w:val="0048532C"/>
    <w:rsid w:val="0049103F"/>
    <w:rsid w:val="004A0DFE"/>
    <w:rsid w:val="004A31FE"/>
    <w:rsid w:val="004A3C62"/>
    <w:rsid w:val="004B6386"/>
    <w:rsid w:val="004B6B43"/>
    <w:rsid w:val="004C0971"/>
    <w:rsid w:val="004C0C25"/>
    <w:rsid w:val="004C2111"/>
    <w:rsid w:val="004C732E"/>
    <w:rsid w:val="004C77BF"/>
    <w:rsid w:val="004D20AE"/>
    <w:rsid w:val="004D2796"/>
    <w:rsid w:val="004D3578"/>
    <w:rsid w:val="004D531F"/>
    <w:rsid w:val="004E0FCB"/>
    <w:rsid w:val="004E1169"/>
    <w:rsid w:val="004E16D6"/>
    <w:rsid w:val="004E6A57"/>
    <w:rsid w:val="004F1A16"/>
    <w:rsid w:val="004F207F"/>
    <w:rsid w:val="004F5D91"/>
    <w:rsid w:val="00500581"/>
    <w:rsid w:val="005070FA"/>
    <w:rsid w:val="00507D85"/>
    <w:rsid w:val="0051206C"/>
    <w:rsid w:val="005200E4"/>
    <w:rsid w:val="0052186A"/>
    <w:rsid w:val="005321DA"/>
    <w:rsid w:val="00547541"/>
    <w:rsid w:val="00551365"/>
    <w:rsid w:val="00562120"/>
    <w:rsid w:val="005627FF"/>
    <w:rsid w:val="00577D61"/>
    <w:rsid w:val="005822AC"/>
    <w:rsid w:val="00592873"/>
    <w:rsid w:val="005974D7"/>
    <w:rsid w:val="005B405A"/>
    <w:rsid w:val="005B6CF6"/>
    <w:rsid w:val="005C2CCB"/>
    <w:rsid w:val="005C2DBE"/>
    <w:rsid w:val="005C5DFF"/>
    <w:rsid w:val="005C6479"/>
    <w:rsid w:val="005C69FD"/>
    <w:rsid w:val="005D2A6D"/>
    <w:rsid w:val="005D2F0A"/>
    <w:rsid w:val="005D3B9C"/>
    <w:rsid w:val="005D7025"/>
    <w:rsid w:val="005E2D67"/>
    <w:rsid w:val="005E5578"/>
    <w:rsid w:val="005E7ED7"/>
    <w:rsid w:val="005F4D62"/>
    <w:rsid w:val="005F66C9"/>
    <w:rsid w:val="00610ED7"/>
    <w:rsid w:val="00620CE3"/>
    <w:rsid w:val="00621086"/>
    <w:rsid w:val="00626F05"/>
    <w:rsid w:val="00636091"/>
    <w:rsid w:val="006365A1"/>
    <w:rsid w:val="00636AA2"/>
    <w:rsid w:val="00650AFE"/>
    <w:rsid w:val="00652778"/>
    <w:rsid w:val="006567A8"/>
    <w:rsid w:val="00666764"/>
    <w:rsid w:val="0066694B"/>
    <w:rsid w:val="00667DB6"/>
    <w:rsid w:val="006771E8"/>
    <w:rsid w:val="00677C01"/>
    <w:rsid w:val="0068143D"/>
    <w:rsid w:val="00683CC7"/>
    <w:rsid w:val="00685A5F"/>
    <w:rsid w:val="00690E73"/>
    <w:rsid w:val="00692CA5"/>
    <w:rsid w:val="006932D7"/>
    <w:rsid w:val="006A7B49"/>
    <w:rsid w:val="006B06A2"/>
    <w:rsid w:val="006B4A46"/>
    <w:rsid w:val="006C3D37"/>
    <w:rsid w:val="006C6376"/>
    <w:rsid w:val="006D4DBF"/>
    <w:rsid w:val="006D6FF5"/>
    <w:rsid w:val="006F1B19"/>
    <w:rsid w:val="006F29ED"/>
    <w:rsid w:val="006F4F77"/>
    <w:rsid w:val="006F5026"/>
    <w:rsid w:val="006F7B39"/>
    <w:rsid w:val="0070147C"/>
    <w:rsid w:val="007138C7"/>
    <w:rsid w:val="00714FD6"/>
    <w:rsid w:val="00723550"/>
    <w:rsid w:val="007265F7"/>
    <w:rsid w:val="00731894"/>
    <w:rsid w:val="00734D83"/>
    <w:rsid w:val="00737685"/>
    <w:rsid w:val="00746796"/>
    <w:rsid w:val="00746D91"/>
    <w:rsid w:val="0075214C"/>
    <w:rsid w:val="0075341E"/>
    <w:rsid w:val="0075598A"/>
    <w:rsid w:val="007568DA"/>
    <w:rsid w:val="00761813"/>
    <w:rsid w:val="00771B85"/>
    <w:rsid w:val="00772E15"/>
    <w:rsid w:val="00775DA6"/>
    <w:rsid w:val="0078170A"/>
    <w:rsid w:val="00790956"/>
    <w:rsid w:val="00791F3E"/>
    <w:rsid w:val="0079502D"/>
    <w:rsid w:val="007A0755"/>
    <w:rsid w:val="007A31D9"/>
    <w:rsid w:val="007A4E6E"/>
    <w:rsid w:val="007A74F9"/>
    <w:rsid w:val="007B0D44"/>
    <w:rsid w:val="007B57E0"/>
    <w:rsid w:val="007D1349"/>
    <w:rsid w:val="007D41A1"/>
    <w:rsid w:val="008033D0"/>
    <w:rsid w:val="00803FB6"/>
    <w:rsid w:val="008059EF"/>
    <w:rsid w:val="008128F7"/>
    <w:rsid w:val="00812938"/>
    <w:rsid w:val="008212DB"/>
    <w:rsid w:val="00827B71"/>
    <w:rsid w:val="00830DAC"/>
    <w:rsid w:val="0083134C"/>
    <w:rsid w:val="00832F51"/>
    <w:rsid w:val="00843100"/>
    <w:rsid w:val="00847054"/>
    <w:rsid w:val="00847FE8"/>
    <w:rsid w:val="00850F25"/>
    <w:rsid w:val="00852D46"/>
    <w:rsid w:val="00853016"/>
    <w:rsid w:val="008534AA"/>
    <w:rsid w:val="0086376F"/>
    <w:rsid w:val="00865805"/>
    <w:rsid w:val="008719C2"/>
    <w:rsid w:val="00881170"/>
    <w:rsid w:val="00884FF7"/>
    <w:rsid w:val="00894ACE"/>
    <w:rsid w:val="008A692C"/>
    <w:rsid w:val="008A76D9"/>
    <w:rsid w:val="008B19D9"/>
    <w:rsid w:val="008B1FD3"/>
    <w:rsid w:val="008B204B"/>
    <w:rsid w:val="008B5720"/>
    <w:rsid w:val="008C49AE"/>
    <w:rsid w:val="008C4C8F"/>
    <w:rsid w:val="008C59F7"/>
    <w:rsid w:val="008D091F"/>
    <w:rsid w:val="008D258B"/>
    <w:rsid w:val="008E6DAC"/>
    <w:rsid w:val="008E7687"/>
    <w:rsid w:val="008F0E3C"/>
    <w:rsid w:val="008F11FA"/>
    <w:rsid w:val="008F33AE"/>
    <w:rsid w:val="008F4ACA"/>
    <w:rsid w:val="00912F98"/>
    <w:rsid w:val="00917FBB"/>
    <w:rsid w:val="009219CA"/>
    <w:rsid w:val="009223D3"/>
    <w:rsid w:val="00923140"/>
    <w:rsid w:val="00931D7A"/>
    <w:rsid w:val="00934733"/>
    <w:rsid w:val="00935D8D"/>
    <w:rsid w:val="00942FE8"/>
    <w:rsid w:val="00947E7E"/>
    <w:rsid w:val="00955014"/>
    <w:rsid w:val="00957E70"/>
    <w:rsid w:val="00960C11"/>
    <w:rsid w:val="00966297"/>
    <w:rsid w:val="00967088"/>
    <w:rsid w:val="00970DAB"/>
    <w:rsid w:val="0097321D"/>
    <w:rsid w:val="009755DC"/>
    <w:rsid w:val="00992531"/>
    <w:rsid w:val="00995CD5"/>
    <w:rsid w:val="009A1787"/>
    <w:rsid w:val="009A4F5A"/>
    <w:rsid w:val="009A7F4D"/>
    <w:rsid w:val="009B1F44"/>
    <w:rsid w:val="009B4573"/>
    <w:rsid w:val="009C002A"/>
    <w:rsid w:val="009C3FC3"/>
    <w:rsid w:val="009D05A6"/>
    <w:rsid w:val="009D0C80"/>
    <w:rsid w:val="009E115D"/>
    <w:rsid w:val="009E278C"/>
    <w:rsid w:val="009F628A"/>
    <w:rsid w:val="009F6EDC"/>
    <w:rsid w:val="00A035CE"/>
    <w:rsid w:val="00A0537F"/>
    <w:rsid w:val="00A0602E"/>
    <w:rsid w:val="00A06C1F"/>
    <w:rsid w:val="00A07FFA"/>
    <w:rsid w:val="00A11FB4"/>
    <w:rsid w:val="00A1550B"/>
    <w:rsid w:val="00A20CEF"/>
    <w:rsid w:val="00A2405C"/>
    <w:rsid w:val="00A35782"/>
    <w:rsid w:val="00A362F9"/>
    <w:rsid w:val="00A43EE6"/>
    <w:rsid w:val="00A47B91"/>
    <w:rsid w:val="00A5096B"/>
    <w:rsid w:val="00A60F49"/>
    <w:rsid w:val="00A61E15"/>
    <w:rsid w:val="00A66F91"/>
    <w:rsid w:val="00A70229"/>
    <w:rsid w:val="00A77FB9"/>
    <w:rsid w:val="00A918D1"/>
    <w:rsid w:val="00A93A9A"/>
    <w:rsid w:val="00AA5C16"/>
    <w:rsid w:val="00AC0471"/>
    <w:rsid w:val="00AC31D4"/>
    <w:rsid w:val="00AC6098"/>
    <w:rsid w:val="00AD3B26"/>
    <w:rsid w:val="00AE0190"/>
    <w:rsid w:val="00AE2BF6"/>
    <w:rsid w:val="00AE2F96"/>
    <w:rsid w:val="00AE3370"/>
    <w:rsid w:val="00AE64CA"/>
    <w:rsid w:val="00AF7092"/>
    <w:rsid w:val="00AF743D"/>
    <w:rsid w:val="00B067B9"/>
    <w:rsid w:val="00B1324D"/>
    <w:rsid w:val="00B157E2"/>
    <w:rsid w:val="00B24A45"/>
    <w:rsid w:val="00B25B92"/>
    <w:rsid w:val="00B26948"/>
    <w:rsid w:val="00B30F53"/>
    <w:rsid w:val="00B34D51"/>
    <w:rsid w:val="00B36A0E"/>
    <w:rsid w:val="00B36BA1"/>
    <w:rsid w:val="00B36C3F"/>
    <w:rsid w:val="00B40D67"/>
    <w:rsid w:val="00B43C45"/>
    <w:rsid w:val="00B510BC"/>
    <w:rsid w:val="00B55EE8"/>
    <w:rsid w:val="00B56E6C"/>
    <w:rsid w:val="00B627D4"/>
    <w:rsid w:val="00B63D0E"/>
    <w:rsid w:val="00B659AC"/>
    <w:rsid w:val="00B67D9B"/>
    <w:rsid w:val="00B7274F"/>
    <w:rsid w:val="00B806D6"/>
    <w:rsid w:val="00B83039"/>
    <w:rsid w:val="00B97897"/>
    <w:rsid w:val="00BA5B00"/>
    <w:rsid w:val="00BB1A07"/>
    <w:rsid w:val="00BB6DAD"/>
    <w:rsid w:val="00BB7346"/>
    <w:rsid w:val="00BC1555"/>
    <w:rsid w:val="00BC1D4E"/>
    <w:rsid w:val="00BC60A9"/>
    <w:rsid w:val="00BD37B5"/>
    <w:rsid w:val="00BD655B"/>
    <w:rsid w:val="00BE0C8A"/>
    <w:rsid w:val="00BE334D"/>
    <w:rsid w:val="00BE4988"/>
    <w:rsid w:val="00BF1C24"/>
    <w:rsid w:val="00BF2E3B"/>
    <w:rsid w:val="00BF5E73"/>
    <w:rsid w:val="00C02E6D"/>
    <w:rsid w:val="00C06939"/>
    <w:rsid w:val="00C21E3B"/>
    <w:rsid w:val="00C35B1A"/>
    <w:rsid w:val="00C41C7D"/>
    <w:rsid w:val="00C50192"/>
    <w:rsid w:val="00C63023"/>
    <w:rsid w:val="00C63743"/>
    <w:rsid w:val="00C72A4F"/>
    <w:rsid w:val="00C76C6C"/>
    <w:rsid w:val="00C80EC5"/>
    <w:rsid w:val="00C86BB9"/>
    <w:rsid w:val="00C8772C"/>
    <w:rsid w:val="00CA43FD"/>
    <w:rsid w:val="00CB18EB"/>
    <w:rsid w:val="00CB441E"/>
    <w:rsid w:val="00CB66B5"/>
    <w:rsid w:val="00CC72E9"/>
    <w:rsid w:val="00CD25C2"/>
    <w:rsid w:val="00CD2C5D"/>
    <w:rsid w:val="00CD4D4E"/>
    <w:rsid w:val="00CD5158"/>
    <w:rsid w:val="00CE24E5"/>
    <w:rsid w:val="00CE41DB"/>
    <w:rsid w:val="00CE4D96"/>
    <w:rsid w:val="00D04A20"/>
    <w:rsid w:val="00D06917"/>
    <w:rsid w:val="00D078C4"/>
    <w:rsid w:val="00D1294E"/>
    <w:rsid w:val="00D15EA5"/>
    <w:rsid w:val="00D2100B"/>
    <w:rsid w:val="00D24220"/>
    <w:rsid w:val="00D3089E"/>
    <w:rsid w:val="00D31D7A"/>
    <w:rsid w:val="00D3206B"/>
    <w:rsid w:val="00D33E60"/>
    <w:rsid w:val="00D430AD"/>
    <w:rsid w:val="00D460E7"/>
    <w:rsid w:val="00D56AB5"/>
    <w:rsid w:val="00D63ABC"/>
    <w:rsid w:val="00D675F1"/>
    <w:rsid w:val="00D73B96"/>
    <w:rsid w:val="00D77D37"/>
    <w:rsid w:val="00D80807"/>
    <w:rsid w:val="00D86917"/>
    <w:rsid w:val="00D87B35"/>
    <w:rsid w:val="00D92F9A"/>
    <w:rsid w:val="00D9427D"/>
    <w:rsid w:val="00D96128"/>
    <w:rsid w:val="00DA2D3D"/>
    <w:rsid w:val="00DA36EE"/>
    <w:rsid w:val="00DA452E"/>
    <w:rsid w:val="00DA5128"/>
    <w:rsid w:val="00DB308D"/>
    <w:rsid w:val="00DB5F40"/>
    <w:rsid w:val="00DD1E47"/>
    <w:rsid w:val="00DD245A"/>
    <w:rsid w:val="00DD61A9"/>
    <w:rsid w:val="00DD6EF1"/>
    <w:rsid w:val="00DE03F4"/>
    <w:rsid w:val="00DE4958"/>
    <w:rsid w:val="00DE6FD9"/>
    <w:rsid w:val="00E00225"/>
    <w:rsid w:val="00E04361"/>
    <w:rsid w:val="00E064FD"/>
    <w:rsid w:val="00E1053A"/>
    <w:rsid w:val="00E1643B"/>
    <w:rsid w:val="00E26AF3"/>
    <w:rsid w:val="00E276E0"/>
    <w:rsid w:val="00E314EA"/>
    <w:rsid w:val="00E33FDA"/>
    <w:rsid w:val="00E406D5"/>
    <w:rsid w:val="00E56701"/>
    <w:rsid w:val="00E62754"/>
    <w:rsid w:val="00E64D2D"/>
    <w:rsid w:val="00E81430"/>
    <w:rsid w:val="00E825F4"/>
    <w:rsid w:val="00E86B53"/>
    <w:rsid w:val="00E9110B"/>
    <w:rsid w:val="00E925EB"/>
    <w:rsid w:val="00EA198B"/>
    <w:rsid w:val="00EA2B6F"/>
    <w:rsid w:val="00EA608F"/>
    <w:rsid w:val="00EB3478"/>
    <w:rsid w:val="00EB4B39"/>
    <w:rsid w:val="00EB6FE3"/>
    <w:rsid w:val="00ED0B14"/>
    <w:rsid w:val="00ED36E1"/>
    <w:rsid w:val="00EE0F65"/>
    <w:rsid w:val="00EE5A29"/>
    <w:rsid w:val="00EF1EAF"/>
    <w:rsid w:val="00EF4E2C"/>
    <w:rsid w:val="00EF4E53"/>
    <w:rsid w:val="00F050D9"/>
    <w:rsid w:val="00F0514C"/>
    <w:rsid w:val="00F115B3"/>
    <w:rsid w:val="00F2029E"/>
    <w:rsid w:val="00F20FF2"/>
    <w:rsid w:val="00F232E9"/>
    <w:rsid w:val="00F246A1"/>
    <w:rsid w:val="00F37917"/>
    <w:rsid w:val="00F50922"/>
    <w:rsid w:val="00F50E24"/>
    <w:rsid w:val="00F51277"/>
    <w:rsid w:val="00F5513E"/>
    <w:rsid w:val="00F63F3F"/>
    <w:rsid w:val="00F66FA5"/>
    <w:rsid w:val="00F71678"/>
    <w:rsid w:val="00F71A70"/>
    <w:rsid w:val="00F72E23"/>
    <w:rsid w:val="00F730E3"/>
    <w:rsid w:val="00F73F37"/>
    <w:rsid w:val="00F755E9"/>
    <w:rsid w:val="00F909CD"/>
    <w:rsid w:val="00F974D1"/>
    <w:rsid w:val="00FA0C14"/>
    <w:rsid w:val="00FA16E0"/>
    <w:rsid w:val="00FC1304"/>
    <w:rsid w:val="00FC4397"/>
    <w:rsid w:val="00FC5B64"/>
    <w:rsid w:val="00FD05AD"/>
    <w:rsid w:val="00FD0666"/>
    <w:rsid w:val="00FD7295"/>
    <w:rsid w:val="00FE2187"/>
    <w:rsid w:val="00FE320C"/>
    <w:rsid w:val="00FF0E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05BF07"/>
  <w15:docId w15:val="{F05CDA8C-DE77-48BB-8D6A-8FDB56D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
    <w:rsid w:val="00DB5F40"/>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30"/>
      </w:numPr>
    </w:pPr>
  </w:style>
  <w:style w:type="paragraph" w:styleId="ListNumber">
    <w:name w:val="List Number"/>
    <w:basedOn w:val="Normal"/>
    <w:uiPriority w:val="1"/>
    <w:qFormat/>
    <w:rsid w:val="00894ACE"/>
    <w:pPr>
      <w:numPr>
        <w:numId w:val="33"/>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30"/>
      </w:numPr>
    </w:pPr>
  </w:style>
  <w:style w:type="paragraph" w:styleId="ListNumber2">
    <w:name w:val="List Number 2"/>
    <w:basedOn w:val="Normal"/>
    <w:uiPriority w:val="1"/>
    <w:qFormat/>
    <w:rsid w:val="00894ACE"/>
    <w:pPr>
      <w:numPr>
        <w:ilvl w:val="1"/>
        <w:numId w:val="33"/>
      </w:numPr>
    </w:pPr>
  </w:style>
  <w:style w:type="paragraph" w:styleId="ListNumber3">
    <w:name w:val="List Number 3"/>
    <w:basedOn w:val="Normal"/>
    <w:uiPriority w:val="1"/>
    <w:qFormat/>
    <w:rsid w:val="00894ACE"/>
    <w:pPr>
      <w:numPr>
        <w:ilvl w:val="2"/>
        <w:numId w:val="33"/>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30"/>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24"/>
      </w:numPr>
      <w:spacing w:before="60" w:after="60"/>
    </w:pPr>
  </w:style>
  <w:style w:type="paragraph" w:customStyle="1" w:styleId="TableBullet2">
    <w:name w:val="Table Bullet 2"/>
    <w:basedOn w:val="ListBullet2"/>
    <w:uiPriority w:val="9"/>
    <w:qFormat/>
    <w:rsid w:val="00894ACE"/>
    <w:pPr>
      <w:numPr>
        <w:numId w:val="24"/>
      </w:numPr>
      <w:spacing w:before="60" w:after="60"/>
    </w:pPr>
  </w:style>
  <w:style w:type="paragraph" w:customStyle="1" w:styleId="TableBullet3">
    <w:name w:val="Table Bullet 3"/>
    <w:basedOn w:val="ListBullet3"/>
    <w:uiPriority w:val="9"/>
    <w:qFormat/>
    <w:rsid w:val="00894ACE"/>
    <w:pPr>
      <w:numPr>
        <w:numId w:val="24"/>
      </w:numPr>
      <w:spacing w:before="60" w:after="60"/>
    </w:pPr>
  </w:style>
  <w:style w:type="paragraph" w:customStyle="1" w:styleId="TableNumber">
    <w:name w:val="Table Number"/>
    <w:basedOn w:val="ListNumber"/>
    <w:uiPriority w:val="9"/>
    <w:qFormat/>
    <w:rsid w:val="00894ACE"/>
    <w:pPr>
      <w:numPr>
        <w:numId w:val="27"/>
      </w:numPr>
      <w:spacing w:before="60" w:after="60"/>
    </w:pPr>
  </w:style>
  <w:style w:type="paragraph" w:customStyle="1" w:styleId="TableNumber2">
    <w:name w:val="Table Number 2"/>
    <w:basedOn w:val="ListNumber2"/>
    <w:uiPriority w:val="9"/>
    <w:qFormat/>
    <w:rsid w:val="00894ACE"/>
    <w:pPr>
      <w:numPr>
        <w:numId w:val="27"/>
      </w:numPr>
      <w:spacing w:before="60" w:after="60"/>
    </w:pPr>
  </w:style>
  <w:style w:type="paragraph" w:customStyle="1" w:styleId="TableNumber3">
    <w:name w:val="Table Number 3"/>
    <w:basedOn w:val="ListNumber3"/>
    <w:uiPriority w:val="9"/>
    <w:qFormat/>
    <w:rsid w:val="00894ACE"/>
    <w:pPr>
      <w:numPr>
        <w:numId w:val="27"/>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paragraph" w:customStyle="1" w:styleId="RNormal">
    <w:name w:val="RNormal"/>
    <w:basedOn w:val="Normal"/>
    <w:rsid w:val="00EF1EAF"/>
    <w:pPr>
      <w:spacing w:after="0" w:line="240" w:lineRule="auto"/>
      <w:jc w:val="both"/>
    </w:pPr>
    <w:rPr>
      <w:rFonts w:ascii="Times New Roman" w:hAnsi="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644">
      <w:bodyDiv w:val="1"/>
      <w:marLeft w:val="0"/>
      <w:marRight w:val="0"/>
      <w:marTop w:val="0"/>
      <w:marBottom w:val="0"/>
      <w:divBdr>
        <w:top w:val="none" w:sz="0" w:space="0" w:color="auto"/>
        <w:left w:val="none" w:sz="0" w:space="0" w:color="auto"/>
        <w:bottom w:val="none" w:sz="0" w:space="0" w:color="auto"/>
        <w:right w:val="none" w:sz="0" w:space="0" w:color="auto"/>
      </w:divBdr>
    </w:div>
    <w:div w:id="97409895">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401030483">
      <w:bodyDiv w:val="1"/>
      <w:marLeft w:val="0"/>
      <w:marRight w:val="0"/>
      <w:marTop w:val="0"/>
      <w:marBottom w:val="0"/>
      <w:divBdr>
        <w:top w:val="none" w:sz="0" w:space="0" w:color="auto"/>
        <w:left w:val="none" w:sz="0" w:space="0" w:color="auto"/>
        <w:bottom w:val="none" w:sz="0" w:space="0" w:color="auto"/>
        <w:right w:val="none" w:sz="0" w:space="0" w:color="auto"/>
      </w:divBdr>
    </w:div>
    <w:div w:id="471094764">
      <w:bodyDiv w:val="1"/>
      <w:marLeft w:val="0"/>
      <w:marRight w:val="0"/>
      <w:marTop w:val="0"/>
      <w:marBottom w:val="0"/>
      <w:divBdr>
        <w:top w:val="none" w:sz="0" w:space="0" w:color="auto"/>
        <w:left w:val="none" w:sz="0" w:space="0" w:color="auto"/>
        <w:bottom w:val="none" w:sz="0" w:space="0" w:color="auto"/>
        <w:right w:val="none" w:sz="0" w:space="0" w:color="auto"/>
      </w:divBdr>
    </w:div>
    <w:div w:id="75813456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052340182">
      <w:bodyDiv w:val="1"/>
      <w:marLeft w:val="0"/>
      <w:marRight w:val="0"/>
      <w:marTop w:val="0"/>
      <w:marBottom w:val="0"/>
      <w:divBdr>
        <w:top w:val="none" w:sz="0" w:space="0" w:color="auto"/>
        <w:left w:val="none" w:sz="0" w:space="0" w:color="auto"/>
        <w:bottom w:val="none" w:sz="0" w:space="0" w:color="auto"/>
        <w:right w:val="none" w:sz="0" w:space="0" w:color="auto"/>
      </w:divBdr>
    </w:div>
    <w:div w:id="1098871041">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497653528">
      <w:bodyDiv w:val="1"/>
      <w:marLeft w:val="0"/>
      <w:marRight w:val="0"/>
      <w:marTop w:val="0"/>
      <w:marBottom w:val="0"/>
      <w:divBdr>
        <w:top w:val="none" w:sz="0" w:space="0" w:color="auto"/>
        <w:left w:val="none" w:sz="0" w:space="0" w:color="auto"/>
        <w:bottom w:val="none" w:sz="0" w:space="0" w:color="auto"/>
        <w:right w:val="none" w:sz="0" w:space="0" w:color="auto"/>
      </w:divBdr>
    </w:div>
    <w:div w:id="1781989542">
      <w:bodyDiv w:val="1"/>
      <w:marLeft w:val="0"/>
      <w:marRight w:val="0"/>
      <w:marTop w:val="0"/>
      <w:marBottom w:val="0"/>
      <w:divBdr>
        <w:top w:val="none" w:sz="0" w:space="0" w:color="auto"/>
        <w:left w:val="none" w:sz="0" w:space="0" w:color="auto"/>
        <w:bottom w:val="none" w:sz="0" w:space="0" w:color="auto"/>
        <w:right w:val="none" w:sz="0" w:space="0" w:color="auto"/>
      </w:divBdr>
    </w:div>
    <w:div w:id="1827933580">
      <w:bodyDiv w:val="1"/>
      <w:marLeft w:val="0"/>
      <w:marRight w:val="0"/>
      <w:marTop w:val="0"/>
      <w:marBottom w:val="0"/>
      <w:divBdr>
        <w:top w:val="none" w:sz="0" w:space="0" w:color="auto"/>
        <w:left w:val="none" w:sz="0" w:space="0" w:color="auto"/>
        <w:bottom w:val="none" w:sz="0" w:space="0" w:color="auto"/>
        <w:right w:val="none" w:sz="0" w:space="0" w:color="auto"/>
      </w:divBdr>
    </w:div>
    <w:div w:id="1920942128">
      <w:bodyDiv w:val="1"/>
      <w:marLeft w:val="0"/>
      <w:marRight w:val="0"/>
      <w:marTop w:val="0"/>
      <w:marBottom w:val="0"/>
      <w:divBdr>
        <w:top w:val="none" w:sz="0" w:space="0" w:color="auto"/>
        <w:left w:val="none" w:sz="0" w:space="0" w:color="auto"/>
        <w:bottom w:val="none" w:sz="0" w:space="0" w:color="auto"/>
        <w:right w:val="none" w:sz="0" w:space="0" w:color="auto"/>
      </w:divBdr>
    </w:div>
    <w:div w:id="1993948796">
      <w:bodyDiv w:val="1"/>
      <w:marLeft w:val="0"/>
      <w:marRight w:val="0"/>
      <w:marTop w:val="0"/>
      <w:marBottom w:val="0"/>
      <w:divBdr>
        <w:top w:val="none" w:sz="0" w:space="0" w:color="auto"/>
        <w:left w:val="none" w:sz="0" w:space="0" w:color="auto"/>
        <w:bottom w:val="none" w:sz="0" w:space="0" w:color="auto"/>
        <w:right w:val="none" w:sz="0" w:space="0" w:color="auto"/>
      </w:divBdr>
    </w:div>
    <w:div w:id="2054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4" ma:contentTypeDescription="Create a new document." ma:contentTypeScope="" ma:versionID="d4655f179c100da6737b4aa0f73c74bd">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76478ad81900dda6986e94ae6e72f099"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B08D-6771-48FB-B5E7-3454556B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56A63-1050-41C9-A8ED-AA341B3AC3D6}">
  <ds:schemaRefs>
    <ds:schemaRef ds:uri="http://schemas.microsoft.com/sharepoint/v3/contenttype/forms"/>
  </ds:schemaRefs>
</ds:datastoreItem>
</file>

<file path=customXml/itemProps3.xml><?xml version="1.0" encoding="utf-8"?>
<ds:datastoreItem xmlns:ds="http://schemas.openxmlformats.org/officeDocument/2006/customXml" ds:itemID="{B6E66D83-5230-4C9B-B457-BCF437C4C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23D275-3E97-4394-939A-C8B4E73D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Letter_GTSL.dotm</Template>
  <TotalTime>371</TotalTime>
  <Pages>10</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Prewpan Neamnam</cp:lastModifiedBy>
  <cp:revision>73</cp:revision>
  <cp:lastPrinted>2019-02-27T09:39:00Z</cp:lastPrinted>
  <dcterms:created xsi:type="dcterms:W3CDTF">2018-02-28T12:06:00Z</dcterms:created>
  <dcterms:modified xsi:type="dcterms:W3CDTF">2019-02-28T15:07:00Z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