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1A600" w14:textId="77777777" w:rsidR="00DB308D" w:rsidRPr="00F6391F" w:rsidRDefault="0023695D" w:rsidP="004C2111">
      <w:pPr>
        <w:pStyle w:val="Reference"/>
        <w:rPr>
          <w:rFonts w:cstheme="minorBidi"/>
          <w:sz w:val="19"/>
          <w:szCs w:val="24"/>
          <w:lang w:val="en-US" w:bidi="th-TH"/>
        </w:rPr>
      </w:pPr>
      <w:r w:rsidRPr="0032246D">
        <w:rPr>
          <w:sz w:val="19"/>
          <w:szCs w:val="19"/>
        </w:rPr>
        <w:tab/>
      </w:r>
    </w:p>
    <w:p w14:paraId="7859F928" w14:textId="39BB3C09" w:rsidR="00DD1E47" w:rsidRPr="0032246D" w:rsidRDefault="00DD1E47" w:rsidP="006771E8">
      <w:pPr>
        <w:pStyle w:val="BodyText"/>
        <w:rPr>
          <w:sz w:val="19"/>
          <w:szCs w:val="19"/>
        </w:rPr>
      </w:pPr>
    </w:p>
    <w:p w14:paraId="2EB86559" w14:textId="2CF534B0" w:rsidR="00D15EA5" w:rsidRPr="0032246D" w:rsidRDefault="006F1B19" w:rsidP="00D15EA5">
      <w:pPr>
        <w:pStyle w:val="BodyText"/>
        <w:rPr>
          <w:sz w:val="19"/>
          <w:szCs w:val="19"/>
        </w:rPr>
      </w:pPr>
      <w:r w:rsidRPr="0032246D">
        <w:rPr>
          <w:sz w:val="19"/>
          <w:szCs w:val="19"/>
        </w:rPr>
        <w:br w:type="textWrapping" w:clear="all"/>
      </w:r>
    </w:p>
    <w:p w14:paraId="7314DDDF" w14:textId="77777777" w:rsidR="00D15EA5" w:rsidRPr="0032246D" w:rsidRDefault="00D15EA5" w:rsidP="00D15EA5">
      <w:pPr>
        <w:pStyle w:val="BodyText"/>
        <w:rPr>
          <w:sz w:val="19"/>
          <w:szCs w:val="19"/>
        </w:rPr>
      </w:pPr>
    </w:p>
    <w:p w14:paraId="0290AC5A" w14:textId="77777777" w:rsidR="00D15EA5" w:rsidRPr="0032246D" w:rsidRDefault="00D15EA5" w:rsidP="00D15EA5">
      <w:pPr>
        <w:pStyle w:val="BodyText"/>
        <w:rPr>
          <w:rFonts w:cstheme="minorBidi"/>
          <w:sz w:val="19"/>
          <w:szCs w:val="19"/>
          <w:lang w:bidi="th-TH"/>
        </w:rPr>
      </w:pPr>
    </w:p>
    <w:p w14:paraId="0330A163" w14:textId="0071E5F5" w:rsidR="00F51277" w:rsidRDefault="00F51277" w:rsidP="00734D83">
      <w:pPr>
        <w:spacing w:after="0" w:line="240" w:lineRule="auto"/>
        <w:jc w:val="thaiDistribute"/>
        <w:rPr>
          <w:rFonts w:ascii="Browallia New" w:hAnsi="Browallia New" w:cs="Browallia New"/>
          <w:sz w:val="19"/>
          <w:szCs w:val="19"/>
          <w:lang w:bidi="th-TH"/>
        </w:rPr>
      </w:pPr>
    </w:p>
    <w:p w14:paraId="2C8F9231" w14:textId="3996C002" w:rsidR="005F5B39" w:rsidRDefault="005F5B39" w:rsidP="00734D83">
      <w:pPr>
        <w:spacing w:after="0" w:line="240" w:lineRule="auto"/>
        <w:jc w:val="thaiDistribute"/>
        <w:rPr>
          <w:rFonts w:ascii="Browallia New" w:hAnsi="Browallia New" w:cs="Browallia New"/>
          <w:sz w:val="19"/>
          <w:szCs w:val="19"/>
          <w:lang w:bidi="th-TH"/>
        </w:rPr>
      </w:pPr>
    </w:p>
    <w:p w14:paraId="6750E78A" w14:textId="25CF78AB" w:rsidR="005F5B39" w:rsidRDefault="005F5B39" w:rsidP="00734D83">
      <w:pPr>
        <w:spacing w:after="0" w:line="240" w:lineRule="auto"/>
        <w:jc w:val="thaiDistribute"/>
        <w:rPr>
          <w:rFonts w:ascii="Browallia New" w:hAnsi="Browallia New" w:cs="Browallia New"/>
          <w:sz w:val="19"/>
          <w:szCs w:val="19"/>
          <w:lang w:bidi="th-TH"/>
        </w:rPr>
      </w:pPr>
    </w:p>
    <w:p w14:paraId="2355024D" w14:textId="0F461712" w:rsidR="005F5B39" w:rsidRDefault="005F5B39" w:rsidP="00734D83">
      <w:pPr>
        <w:spacing w:after="0" w:line="240" w:lineRule="auto"/>
        <w:jc w:val="thaiDistribute"/>
        <w:rPr>
          <w:rFonts w:ascii="Browallia New" w:hAnsi="Browallia New" w:cs="Browallia New"/>
          <w:sz w:val="19"/>
          <w:szCs w:val="19"/>
          <w:lang w:bidi="th-TH"/>
        </w:rPr>
      </w:pPr>
    </w:p>
    <w:p w14:paraId="0EEFD1E1" w14:textId="77777777" w:rsidR="005F5B39" w:rsidRPr="0032246D" w:rsidRDefault="005F5B39" w:rsidP="00734D83">
      <w:pPr>
        <w:spacing w:after="0" w:line="240" w:lineRule="auto"/>
        <w:jc w:val="thaiDistribute"/>
        <w:rPr>
          <w:rFonts w:ascii="Browallia New" w:hAnsi="Browallia New" w:cs="Browallia New"/>
          <w:sz w:val="19"/>
          <w:szCs w:val="19"/>
          <w:lang w:bidi="th-TH"/>
        </w:rPr>
      </w:pPr>
    </w:p>
    <w:p w14:paraId="7BABF847" w14:textId="6BA6724F" w:rsidR="00EF1EAF" w:rsidRPr="001F7F05" w:rsidRDefault="00EF1EAF" w:rsidP="001F7F05">
      <w:pPr>
        <w:pStyle w:val="BodyText"/>
        <w:spacing w:after="0" w:line="360" w:lineRule="auto"/>
        <w:jc w:val="thaiDistribute"/>
        <w:rPr>
          <w:rFonts w:ascii="Arial" w:hAnsi="Arial"/>
          <w:b/>
          <w:bCs/>
          <w:sz w:val="19"/>
          <w:szCs w:val="19"/>
        </w:rPr>
      </w:pPr>
      <w:r w:rsidRPr="001F7F05">
        <w:rPr>
          <w:rFonts w:ascii="Arial" w:hAnsi="Arial"/>
          <w:b/>
          <w:bCs/>
          <w:sz w:val="19"/>
          <w:szCs w:val="19"/>
        </w:rPr>
        <w:t>To the Shareholders of Italian</w:t>
      </w:r>
      <w:r w:rsidR="00184961">
        <w:rPr>
          <w:rFonts w:ascii="Arial" w:hAnsi="Arial"/>
          <w:b/>
          <w:bCs/>
          <w:sz w:val="19"/>
          <w:szCs w:val="19"/>
        </w:rPr>
        <w:t>-</w:t>
      </w:r>
      <w:r w:rsidRPr="001F7F05">
        <w:rPr>
          <w:rFonts w:ascii="Arial" w:hAnsi="Arial"/>
          <w:b/>
          <w:bCs/>
          <w:sz w:val="19"/>
          <w:szCs w:val="19"/>
        </w:rPr>
        <w:t>Thai Development Public Company Limited</w:t>
      </w:r>
    </w:p>
    <w:p w14:paraId="0F60BE2B" w14:textId="77777777" w:rsidR="00EF1EAF" w:rsidRPr="001F7F05" w:rsidRDefault="00EF1EAF" w:rsidP="001F7F05">
      <w:pPr>
        <w:pStyle w:val="BodyText"/>
        <w:spacing w:after="0" w:line="360" w:lineRule="auto"/>
        <w:jc w:val="thaiDistribute"/>
        <w:rPr>
          <w:rFonts w:ascii="Arial" w:hAnsi="Arial"/>
          <w:i/>
          <w:iCs/>
          <w:sz w:val="19"/>
          <w:szCs w:val="19"/>
        </w:rPr>
      </w:pPr>
    </w:p>
    <w:p w14:paraId="0D6C25B5" w14:textId="77777777" w:rsidR="00EF1EAF" w:rsidRPr="0032246D" w:rsidRDefault="00EF1EAF" w:rsidP="00EF1EAF">
      <w:pPr>
        <w:pStyle w:val="NormalWeb"/>
        <w:spacing w:after="0" w:line="360" w:lineRule="auto"/>
        <w:rPr>
          <w:rFonts w:asciiTheme="majorHAnsi" w:hAnsiTheme="majorHAnsi" w:cstheme="majorHAnsi"/>
          <w:i/>
          <w:iCs/>
          <w:sz w:val="19"/>
          <w:szCs w:val="19"/>
        </w:rPr>
      </w:pPr>
      <w:r w:rsidRPr="0032246D">
        <w:rPr>
          <w:rFonts w:asciiTheme="majorHAnsi" w:hAnsiTheme="majorHAnsi" w:cstheme="majorHAnsi"/>
          <w:i/>
          <w:iCs/>
          <w:sz w:val="19"/>
          <w:szCs w:val="19"/>
        </w:rPr>
        <w:t xml:space="preserve">Qualified Opinion </w:t>
      </w:r>
    </w:p>
    <w:p w14:paraId="08EF3912" w14:textId="77777777" w:rsidR="00EF1EAF" w:rsidRPr="001F7F05" w:rsidRDefault="00EF1EAF" w:rsidP="001F7F05">
      <w:pPr>
        <w:pStyle w:val="BodyText"/>
        <w:spacing w:after="0" w:line="360" w:lineRule="auto"/>
        <w:jc w:val="thaiDistribute"/>
        <w:rPr>
          <w:rFonts w:ascii="Arial" w:hAnsi="Arial"/>
          <w:i/>
          <w:iCs/>
          <w:sz w:val="19"/>
          <w:szCs w:val="19"/>
        </w:rPr>
      </w:pPr>
    </w:p>
    <w:p w14:paraId="5C6D1060" w14:textId="13E4C85E" w:rsidR="00EF1EAF" w:rsidRPr="0032246D" w:rsidRDefault="00EF1EAF" w:rsidP="00EF1EAF">
      <w:pPr>
        <w:spacing w:line="360" w:lineRule="auto"/>
        <w:jc w:val="both"/>
        <w:rPr>
          <w:rFonts w:asciiTheme="majorHAnsi" w:hAnsiTheme="majorHAnsi" w:cstheme="majorHAnsi"/>
          <w:i/>
          <w:iCs/>
          <w:sz w:val="19"/>
          <w:szCs w:val="19"/>
          <w:lang w:val="en-US"/>
        </w:rPr>
      </w:pPr>
      <w:r w:rsidRPr="0032246D">
        <w:rPr>
          <w:rFonts w:asciiTheme="majorHAnsi" w:hAnsiTheme="majorHAnsi" w:cstheme="majorHAnsi"/>
          <w:sz w:val="19"/>
          <w:szCs w:val="19"/>
          <w:lang w:val="en-US"/>
        </w:rPr>
        <w:t xml:space="preserve">I have audited the consolidated </w:t>
      </w:r>
      <w:r w:rsidR="00CC5BA3">
        <w:rPr>
          <w:rFonts w:asciiTheme="majorHAnsi" w:hAnsiTheme="majorHAnsi" w:cstheme="majorHAnsi"/>
          <w:sz w:val="19"/>
          <w:szCs w:val="19"/>
          <w:lang w:val="en-US"/>
        </w:rPr>
        <w:t>and sep</w:t>
      </w:r>
      <w:r w:rsidR="00AB7E67">
        <w:rPr>
          <w:rFonts w:asciiTheme="majorHAnsi" w:hAnsiTheme="majorHAnsi" w:cstheme="majorHAnsi"/>
          <w:sz w:val="19"/>
          <w:szCs w:val="19"/>
          <w:lang w:val="en-US"/>
        </w:rPr>
        <w:t xml:space="preserve">arate </w:t>
      </w:r>
      <w:r w:rsidRPr="0032246D">
        <w:rPr>
          <w:rFonts w:asciiTheme="majorHAnsi" w:hAnsiTheme="majorHAnsi" w:cstheme="majorHAnsi"/>
          <w:sz w:val="19"/>
          <w:szCs w:val="19"/>
          <w:lang w:val="en-US"/>
        </w:rPr>
        <w:t>financial statements of Italian</w:t>
      </w:r>
      <w:r w:rsidR="00184961">
        <w:rPr>
          <w:rFonts w:asciiTheme="majorHAnsi" w:hAnsiTheme="majorHAnsi" w:cstheme="majorHAnsi"/>
          <w:sz w:val="19"/>
          <w:szCs w:val="19"/>
          <w:lang w:val="en-US"/>
        </w:rPr>
        <w:t>-</w:t>
      </w:r>
      <w:r w:rsidRPr="0032246D">
        <w:rPr>
          <w:rFonts w:asciiTheme="majorHAnsi" w:hAnsiTheme="majorHAnsi" w:cstheme="majorHAnsi"/>
          <w:sz w:val="19"/>
          <w:szCs w:val="19"/>
          <w:lang w:val="en-US"/>
        </w:rPr>
        <w:t>Thai Development Public Company Limited and its subsidiaries</w:t>
      </w:r>
      <w:r w:rsidRPr="0032246D">
        <w:rPr>
          <w:rFonts w:asciiTheme="majorHAnsi" w:hAnsiTheme="majorHAnsi" w:cstheme="majorHAnsi"/>
          <w:sz w:val="19"/>
          <w:szCs w:val="19"/>
          <w:rtl/>
          <w:cs/>
        </w:rPr>
        <w:t xml:space="preserve"> </w:t>
      </w:r>
      <w:r w:rsidRPr="0032246D">
        <w:rPr>
          <w:rFonts w:asciiTheme="majorHAnsi" w:hAnsiTheme="majorHAnsi" w:cstheme="majorHAnsi"/>
          <w:sz w:val="19"/>
          <w:szCs w:val="19"/>
          <w:lang w:val="en-US"/>
        </w:rPr>
        <w:t xml:space="preserve">(the “Group”), which comprise the consolidated </w:t>
      </w:r>
      <w:r w:rsidR="00A6495A">
        <w:rPr>
          <w:rFonts w:asciiTheme="majorHAnsi" w:hAnsiTheme="majorHAnsi" w:cstheme="majorHAnsi"/>
          <w:sz w:val="19"/>
          <w:szCs w:val="19"/>
          <w:lang w:val="en-US"/>
        </w:rPr>
        <w:t xml:space="preserve">and </w:t>
      </w:r>
      <w:r w:rsidR="00A6495A" w:rsidRPr="0032246D">
        <w:rPr>
          <w:rFonts w:asciiTheme="majorHAnsi" w:hAnsiTheme="majorHAnsi" w:cstheme="majorHAnsi"/>
          <w:sz w:val="19"/>
          <w:szCs w:val="19"/>
          <w:lang w:val="en-US"/>
        </w:rPr>
        <w:t xml:space="preserve">separate </w:t>
      </w:r>
      <w:r w:rsidRPr="0032246D">
        <w:rPr>
          <w:rFonts w:asciiTheme="majorHAnsi" w:hAnsiTheme="majorHAnsi" w:cstheme="majorHAnsi"/>
          <w:sz w:val="19"/>
          <w:szCs w:val="19"/>
          <w:lang w:val="en-US"/>
        </w:rPr>
        <w:t>statement of financial position as at 31 December 20</w:t>
      </w:r>
      <w:r w:rsidR="007070DD">
        <w:rPr>
          <w:rFonts w:asciiTheme="majorHAnsi" w:hAnsiTheme="majorHAnsi" w:cstheme="majorHAnsi"/>
          <w:sz w:val="19"/>
          <w:szCs w:val="19"/>
          <w:lang w:val="en-US"/>
        </w:rPr>
        <w:t>20</w:t>
      </w:r>
      <w:r w:rsidRPr="0032246D">
        <w:rPr>
          <w:rFonts w:asciiTheme="majorHAnsi" w:hAnsiTheme="majorHAnsi" w:cstheme="majorHAnsi"/>
          <w:sz w:val="19"/>
          <w:szCs w:val="19"/>
          <w:lang w:val="en-US"/>
        </w:rPr>
        <w:t xml:space="preserve">, </w:t>
      </w:r>
      <w:r w:rsidR="00B627D4">
        <w:rPr>
          <w:rFonts w:asciiTheme="majorHAnsi" w:hAnsiTheme="majorHAnsi" w:cstheme="majorHAnsi"/>
          <w:sz w:val="19"/>
          <w:szCs w:val="19"/>
          <w:lang w:val="en-US"/>
        </w:rPr>
        <w:t xml:space="preserve">the </w:t>
      </w:r>
      <w:r w:rsidRPr="0032246D">
        <w:rPr>
          <w:rFonts w:asciiTheme="majorHAnsi" w:hAnsiTheme="majorHAnsi" w:cstheme="majorHAnsi"/>
          <w:sz w:val="19"/>
          <w:szCs w:val="19"/>
          <w:lang w:val="en-US"/>
        </w:rPr>
        <w:t xml:space="preserve">consolidated </w:t>
      </w:r>
      <w:r w:rsidR="00A6495A" w:rsidRPr="00A6495A">
        <w:rPr>
          <w:rFonts w:asciiTheme="majorHAnsi" w:hAnsiTheme="majorHAnsi" w:cstheme="majorHAnsi"/>
          <w:sz w:val="19"/>
          <w:szCs w:val="19"/>
          <w:lang w:val="en-US"/>
        </w:rPr>
        <w:t xml:space="preserve">and separate </w:t>
      </w:r>
      <w:r w:rsidRPr="0032246D">
        <w:rPr>
          <w:rFonts w:asciiTheme="majorHAnsi" w:hAnsiTheme="majorHAnsi" w:cstheme="majorHAnsi"/>
          <w:sz w:val="19"/>
          <w:szCs w:val="19"/>
          <w:lang w:val="en-US"/>
        </w:rPr>
        <w:t>statement</w:t>
      </w:r>
      <w:r w:rsidR="00B627D4">
        <w:rPr>
          <w:rFonts w:asciiTheme="majorHAnsi" w:hAnsiTheme="majorHAnsi" w:cstheme="majorHAnsi"/>
          <w:sz w:val="19"/>
          <w:szCs w:val="19"/>
          <w:lang w:val="en-US"/>
        </w:rPr>
        <w:t>s</w:t>
      </w:r>
      <w:r w:rsidRPr="0032246D">
        <w:rPr>
          <w:rFonts w:asciiTheme="majorHAnsi" w:hAnsiTheme="majorHAnsi" w:cstheme="majorHAnsi"/>
          <w:sz w:val="19"/>
          <w:szCs w:val="19"/>
          <w:lang w:val="en-US"/>
        </w:rPr>
        <w:t xml:space="preserve"> of profit and loss and other comprehensive income, changes in shareholders’ equity and cash flows for the year then ended, and notes to the financial statements, including a summary of significant accounting policies.  </w:t>
      </w:r>
    </w:p>
    <w:p w14:paraId="5F1A0C7D" w14:textId="77777777" w:rsidR="00EF1EAF" w:rsidRPr="001F7F05" w:rsidRDefault="00EF1EAF" w:rsidP="001F7F05">
      <w:pPr>
        <w:pStyle w:val="BodyText"/>
        <w:spacing w:after="0" w:line="360" w:lineRule="auto"/>
        <w:jc w:val="thaiDistribute"/>
        <w:rPr>
          <w:rFonts w:ascii="Arial" w:hAnsi="Arial"/>
          <w:i/>
          <w:iCs/>
          <w:sz w:val="19"/>
          <w:szCs w:val="19"/>
        </w:rPr>
      </w:pPr>
    </w:p>
    <w:p w14:paraId="055DFA8B" w14:textId="629742AF" w:rsidR="00CD4D4E" w:rsidRPr="0032246D" w:rsidRDefault="00EF1EAF" w:rsidP="00EF1EAF">
      <w:pPr>
        <w:spacing w:line="360" w:lineRule="auto"/>
        <w:jc w:val="thaiDistribute"/>
        <w:rPr>
          <w:rFonts w:asciiTheme="majorHAnsi" w:hAnsiTheme="majorHAnsi" w:cstheme="majorHAnsi"/>
          <w:sz w:val="19"/>
          <w:szCs w:val="19"/>
        </w:rPr>
      </w:pPr>
      <w:r w:rsidRPr="0032246D">
        <w:rPr>
          <w:rFonts w:asciiTheme="majorHAnsi" w:hAnsiTheme="majorHAnsi" w:cstheme="majorHAnsi"/>
          <w:sz w:val="19"/>
          <w:szCs w:val="19"/>
          <w:lang w:val="en-US"/>
        </w:rPr>
        <w:t xml:space="preserve">In my opinion, except for the possible effects of the matters described </w:t>
      </w:r>
      <w:r w:rsidR="00550A5D">
        <w:rPr>
          <w:rFonts w:asciiTheme="majorHAnsi" w:hAnsiTheme="majorHAnsi" w:cstheme="majorHAnsi"/>
          <w:sz w:val="19"/>
          <w:szCs w:val="19"/>
          <w:lang w:val="en-US"/>
        </w:rPr>
        <w:t>under</w:t>
      </w:r>
      <w:r w:rsidRPr="0032246D">
        <w:rPr>
          <w:rFonts w:asciiTheme="majorHAnsi" w:hAnsiTheme="majorHAnsi" w:cstheme="majorHAnsi"/>
          <w:sz w:val="19"/>
          <w:szCs w:val="19"/>
          <w:lang w:val="en-US"/>
        </w:rPr>
        <w:t xml:space="preserve"> the Basis for Qualified Opinion</w:t>
      </w:r>
      <w:r w:rsidRPr="0032246D">
        <w:rPr>
          <w:rFonts w:asciiTheme="majorHAnsi" w:hAnsiTheme="majorHAnsi" w:cstheme="majorHAnsi"/>
          <w:sz w:val="19"/>
          <w:szCs w:val="19"/>
          <w:rtl/>
          <w:cs/>
          <w:lang w:val="en-US"/>
        </w:rPr>
        <w:t xml:space="preserve"> </w:t>
      </w:r>
      <w:r w:rsidRPr="0032246D">
        <w:rPr>
          <w:rFonts w:asciiTheme="majorHAnsi" w:hAnsiTheme="majorHAnsi" w:cstheme="majorHAnsi"/>
          <w:sz w:val="19"/>
          <w:szCs w:val="19"/>
          <w:lang w:val="en-US"/>
        </w:rPr>
        <w:t xml:space="preserve">paragraph, the accompanying consolidated and separate financial statements present fairly, in all material respects, the consolidated financial position of </w:t>
      </w:r>
      <w:r w:rsidR="00F6391F">
        <w:rPr>
          <w:rFonts w:asciiTheme="majorHAnsi" w:hAnsiTheme="majorHAnsi" w:cstheme="majorHAnsi"/>
          <w:sz w:val="19"/>
          <w:szCs w:val="19"/>
          <w:lang w:val="en-US"/>
        </w:rPr>
        <w:t>Italian</w:t>
      </w:r>
      <w:r w:rsidR="00184961">
        <w:rPr>
          <w:rFonts w:asciiTheme="majorHAnsi" w:hAnsiTheme="majorHAnsi" w:cstheme="majorHAnsi"/>
          <w:sz w:val="19"/>
          <w:szCs w:val="19"/>
          <w:lang w:val="en-US"/>
        </w:rPr>
        <w:t>-</w:t>
      </w:r>
      <w:r w:rsidR="00F6391F">
        <w:rPr>
          <w:rFonts w:asciiTheme="majorHAnsi" w:hAnsiTheme="majorHAnsi" w:cstheme="majorHAnsi"/>
          <w:sz w:val="19"/>
          <w:szCs w:val="19"/>
          <w:lang w:val="en-US"/>
        </w:rPr>
        <w:t xml:space="preserve">Thai Development Public Company Limited and its subsidiaries </w:t>
      </w:r>
      <w:r w:rsidRPr="0032246D">
        <w:rPr>
          <w:rFonts w:asciiTheme="majorHAnsi" w:hAnsiTheme="majorHAnsi" w:cstheme="majorHAnsi"/>
          <w:sz w:val="19"/>
          <w:szCs w:val="19"/>
          <w:lang w:val="en-US"/>
        </w:rPr>
        <w:t>as at 31 December 20</w:t>
      </w:r>
      <w:r w:rsidR="007070DD">
        <w:rPr>
          <w:rFonts w:asciiTheme="majorHAnsi" w:hAnsiTheme="majorHAnsi" w:cstheme="majorHAnsi"/>
          <w:sz w:val="19"/>
          <w:szCs w:val="19"/>
          <w:lang w:val="en-US"/>
        </w:rPr>
        <w:t>20</w:t>
      </w:r>
      <w:r w:rsidRPr="0032246D">
        <w:rPr>
          <w:rFonts w:asciiTheme="majorHAnsi" w:hAnsiTheme="majorHAnsi" w:cstheme="majorHAnsi"/>
          <w:sz w:val="19"/>
          <w:szCs w:val="19"/>
          <w:lang w:val="en-US"/>
        </w:rPr>
        <w:t>, and its consolidated</w:t>
      </w:r>
      <w:r w:rsidR="004A3F4E" w:rsidRPr="004A3F4E">
        <w:t xml:space="preserve"> </w:t>
      </w:r>
      <w:r w:rsidR="004A3F4E" w:rsidRPr="004A3F4E">
        <w:rPr>
          <w:rFonts w:asciiTheme="majorHAnsi" w:hAnsiTheme="majorHAnsi" w:cstheme="majorHAnsi"/>
          <w:sz w:val="19"/>
          <w:szCs w:val="19"/>
          <w:lang w:val="en-US"/>
        </w:rPr>
        <w:t>and separate</w:t>
      </w:r>
      <w:r w:rsidRPr="0032246D">
        <w:rPr>
          <w:rFonts w:asciiTheme="majorHAnsi" w:hAnsiTheme="majorHAnsi" w:cstheme="majorHAnsi"/>
          <w:sz w:val="19"/>
          <w:szCs w:val="19"/>
          <w:lang w:val="en-US"/>
        </w:rPr>
        <w:t xml:space="preserve"> financial performance and cash flows for the year then ended in</w:t>
      </w:r>
      <w:r w:rsidRPr="0032246D">
        <w:rPr>
          <w:rFonts w:asciiTheme="majorHAnsi" w:hAnsiTheme="majorHAnsi" w:cstheme="majorHAnsi"/>
          <w:sz w:val="19"/>
          <w:szCs w:val="19"/>
          <w:rtl/>
          <w:cs/>
          <w:lang w:val="en-US"/>
        </w:rPr>
        <w:t xml:space="preserve"> </w:t>
      </w:r>
      <w:r w:rsidRPr="0032246D">
        <w:rPr>
          <w:rFonts w:asciiTheme="majorHAnsi" w:hAnsiTheme="majorHAnsi" w:cstheme="majorHAnsi"/>
          <w:sz w:val="19"/>
          <w:szCs w:val="19"/>
          <w:lang w:val="en-US"/>
        </w:rPr>
        <w:t>accordance with Thai Financial Reporting Standards.</w:t>
      </w:r>
      <w:r w:rsidR="00734D83" w:rsidRPr="0032246D">
        <w:rPr>
          <w:rFonts w:asciiTheme="majorHAnsi" w:hAnsiTheme="majorHAnsi" w:cstheme="majorHAnsi"/>
          <w:sz w:val="19"/>
          <w:szCs w:val="19"/>
          <w:cs/>
          <w:lang w:val="en-US" w:bidi="th-TH"/>
        </w:rPr>
        <w:t xml:space="preserve"> </w:t>
      </w:r>
    </w:p>
    <w:p w14:paraId="1F40F1D7" w14:textId="0C60AA18" w:rsidR="0051206C" w:rsidRDefault="0051206C" w:rsidP="001F7F05">
      <w:pPr>
        <w:pStyle w:val="BodyText"/>
        <w:spacing w:after="0" w:line="360" w:lineRule="auto"/>
        <w:jc w:val="thaiDistribute"/>
        <w:rPr>
          <w:rFonts w:ascii="Arial" w:hAnsi="Arial"/>
          <w:i/>
          <w:iCs/>
          <w:sz w:val="19"/>
          <w:szCs w:val="19"/>
        </w:rPr>
      </w:pPr>
    </w:p>
    <w:p w14:paraId="736A2259" w14:textId="49B4A30C" w:rsidR="001F7F05" w:rsidRDefault="001F7F05" w:rsidP="001F7F05">
      <w:pPr>
        <w:pStyle w:val="BodyText"/>
        <w:spacing w:after="0" w:line="360" w:lineRule="auto"/>
        <w:jc w:val="thaiDistribute"/>
        <w:rPr>
          <w:rFonts w:ascii="Arial" w:hAnsi="Arial"/>
          <w:i/>
          <w:iCs/>
          <w:sz w:val="19"/>
          <w:szCs w:val="19"/>
        </w:rPr>
      </w:pPr>
    </w:p>
    <w:p w14:paraId="31DFE0CC" w14:textId="74BFB8FD" w:rsidR="001F7F05" w:rsidRDefault="001F7F05" w:rsidP="001F7F05">
      <w:pPr>
        <w:pStyle w:val="BodyText"/>
        <w:spacing w:after="0" w:line="360" w:lineRule="auto"/>
        <w:jc w:val="thaiDistribute"/>
        <w:rPr>
          <w:rFonts w:ascii="Arial" w:hAnsi="Arial"/>
          <w:i/>
          <w:iCs/>
          <w:sz w:val="19"/>
          <w:szCs w:val="19"/>
        </w:rPr>
      </w:pPr>
    </w:p>
    <w:p w14:paraId="7A28BBAA" w14:textId="07B46F68" w:rsidR="001F7F05" w:rsidRDefault="001F7F05" w:rsidP="001F7F05">
      <w:pPr>
        <w:pStyle w:val="BodyText"/>
        <w:spacing w:after="0" w:line="360" w:lineRule="auto"/>
        <w:jc w:val="thaiDistribute"/>
        <w:rPr>
          <w:rFonts w:ascii="Arial" w:hAnsi="Arial"/>
          <w:i/>
          <w:iCs/>
          <w:sz w:val="19"/>
          <w:szCs w:val="19"/>
        </w:rPr>
      </w:pPr>
    </w:p>
    <w:p w14:paraId="3022ABFE" w14:textId="54B9D4F1" w:rsidR="001F7F05" w:rsidRDefault="001F7F05" w:rsidP="001F7F05">
      <w:pPr>
        <w:pStyle w:val="BodyText"/>
        <w:spacing w:after="0" w:line="360" w:lineRule="auto"/>
        <w:jc w:val="thaiDistribute"/>
        <w:rPr>
          <w:rFonts w:ascii="Arial" w:hAnsi="Arial"/>
          <w:i/>
          <w:iCs/>
          <w:sz w:val="19"/>
          <w:szCs w:val="19"/>
        </w:rPr>
      </w:pPr>
    </w:p>
    <w:p w14:paraId="782AFE89" w14:textId="2473B792" w:rsidR="00ED5426" w:rsidRDefault="00ED5426" w:rsidP="001F7F05">
      <w:pPr>
        <w:pStyle w:val="BodyText"/>
        <w:spacing w:after="0" w:line="360" w:lineRule="auto"/>
        <w:jc w:val="thaiDistribute"/>
        <w:rPr>
          <w:rFonts w:ascii="Arial" w:hAnsi="Arial"/>
          <w:i/>
          <w:iCs/>
          <w:sz w:val="19"/>
          <w:szCs w:val="19"/>
        </w:rPr>
      </w:pPr>
    </w:p>
    <w:p w14:paraId="065621CD" w14:textId="315B6D12" w:rsidR="00ED5426" w:rsidRDefault="00ED5426" w:rsidP="001F7F05">
      <w:pPr>
        <w:pStyle w:val="BodyText"/>
        <w:spacing w:after="0" w:line="360" w:lineRule="auto"/>
        <w:jc w:val="thaiDistribute"/>
        <w:rPr>
          <w:rFonts w:ascii="Arial" w:hAnsi="Arial"/>
          <w:i/>
          <w:iCs/>
          <w:sz w:val="19"/>
          <w:szCs w:val="19"/>
        </w:rPr>
      </w:pPr>
    </w:p>
    <w:p w14:paraId="1B741CD7" w14:textId="177DB85D" w:rsidR="00ED5426" w:rsidRDefault="00ED5426" w:rsidP="001F7F05">
      <w:pPr>
        <w:pStyle w:val="BodyText"/>
        <w:spacing w:after="0" w:line="360" w:lineRule="auto"/>
        <w:jc w:val="thaiDistribute"/>
        <w:rPr>
          <w:rFonts w:ascii="Arial" w:hAnsi="Arial"/>
          <w:i/>
          <w:iCs/>
          <w:sz w:val="19"/>
          <w:szCs w:val="19"/>
        </w:rPr>
      </w:pPr>
    </w:p>
    <w:p w14:paraId="4D167604" w14:textId="3D450DCA" w:rsidR="00514B59" w:rsidRDefault="00514B59" w:rsidP="001F7F05">
      <w:pPr>
        <w:pStyle w:val="BodyText"/>
        <w:spacing w:after="0" w:line="360" w:lineRule="auto"/>
        <w:jc w:val="thaiDistribute"/>
        <w:rPr>
          <w:rFonts w:ascii="Arial" w:hAnsi="Arial"/>
          <w:i/>
          <w:iCs/>
          <w:sz w:val="19"/>
          <w:szCs w:val="19"/>
        </w:rPr>
      </w:pPr>
    </w:p>
    <w:p w14:paraId="1D2EE171" w14:textId="2A8B6479" w:rsidR="00514B59" w:rsidRDefault="00514B59" w:rsidP="001F7F05">
      <w:pPr>
        <w:pStyle w:val="BodyText"/>
        <w:spacing w:after="0" w:line="360" w:lineRule="auto"/>
        <w:jc w:val="thaiDistribute"/>
        <w:rPr>
          <w:rFonts w:ascii="Arial" w:hAnsi="Arial"/>
          <w:i/>
          <w:iCs/>
          <w:sz w:val="19"/>
          <w:szCs w:val="19"/>
        </w:rPr>
      </w:pPr>
    </w:p>
    <w:p w14:paraId="409A472E" w14:textId="79A985A7" w:rsidR="00514B59" w:rsidRDefault="00514B59" w:rsidP="001F7F05">
      <w:pPr>
        <w:pStyle w:val="BodyText"/>
        <w:spacing w:after="0" w:line="360" w:lineRule="auto"/>
        <w:jc w:val="thaiDistribute"/>
        <w:rPr>
          <w:rFonts w:ascii="Arial" w:hAnsi="Arial"/>
          <w:i/>
          <w:iCs/>
          <w:sz w:val="19"/>
          <w:szCs w:val="19"/>
        </w:rPr>
      </w:pPr>
    </w:p>
    <w:p w14:paraId="77793E9E" w14:textId="77777777" w:rsidR="00514B59" w:rsidRDefault="00514B59" w:rsidP="001F7F05">
      <w:pPr>
        <w:pStyle w:val="BodyText"/>
        <w:spacing w:after="0" w:line="360" w:lineRule="auto"/>
        <w:jc w:val="thaiDistribute"/>
        <w:rPr>
          <w:rFonts w:ascii="Arial" w:hAnsi="Arial"/>
          <w:i/>
          <w:iCs/>
          <w:sz w:val="19"/>
          <w:szCs w:val="19"/>
        </w:rPr>
      </w:pPr>
    </w:p>
    <w:p w14:paraId="035ED3BD" w14:textId="67EDA378" w:rsidR="001F7F05" w:rsidRDefault="001F7F05" w:rsidP="001F7F05">
      <w:pPr>
        <w:pStyle w:val="BodyText"/>
        <w:spacing w:after="0" w:line="360" w:lineRule="auto"/>
        <w:jc w:val="thaiDistribute"/>
        <w:rPr>
          <w:rFonts w:ascii="Arial" w:hAnsi="Arial"/>
          <w:i/>
          <w:iCs/>
          <w:sz w:val="19"/>
          <w:szCs w:val="19"/>
        </w:rPr>
      </w:pPr>
    </w:p>
    <w:p w14:paraId="198A98CE" w14:textId="77777777" w:rsidR="00EF1EAF" w:rsidRPr="001F7F05" w:rsidRDefault="00EF1EAF" w:rsidP="001F7F05">
      <w:pPr>
        <w:pStyle w:val="BodyText"/>
        <w:spacing w:after="0" w:line="360" w:lineRule="auto"/>
        <w:jc w:val="thaiDistribute"/>
        <w:rPr>
          <w:rFonts w:ascii="Arial" w:hAnsi="Arial"/>
          <w:i/>
          <w:iCs/>
          <w:sz w:val="19"/>
          <w:szCs w:val="19"/>
        </w:rPr>
      </w:pPr>
      <w:r w:rsidRPr="001F7F05">
        <w:rPr>
          <w:rFonts w:ascii="Arial" w:hAnsi="Arial"/>
          <w:i/>
          <w:iCs/>
          <w:sz w:val="19"/>
          <w:szCs w:val="19"/>
        </w:rPr>
        <w:lastRenderedPageBreak/>
        <w:t>Basis for Qualified Opinion</w:t>
      </w:r>
    </w:p>
    <w:p w14:paraId="18D18261" w14:textId="77777777" w:rsidR="0075214C" w:rsidRPr="001F7F05" w:rsidRDefault="0075214C" w:rsidP="001F7F05">
      <w:pPr>
        <w:pStyle w:val="BodyText"/>
        <w:spacing w:after="0" w:line="360" w:lineRule="auto"/>
        <w:jc w:val="thaiDistribute"/>
        <w:rPr>
          <w:rFonts w:ascii="Arial" w:hAnsi="Arial"/>
          <w:i/>
          <w:iCs/>
          <w:sz w:val="19"/>
          <w:szCs w:val="19"/>
        </w:rPr>
      </w:pPr>
    </w:p>
    <w:p w14:paraId="390417D9" w14:textId="53A0E93B" w:rsidR="00EF1EAF" w:rsidRPr="0032246D" w:rsidRDefault="00EF1EAF" w:rsidP="00EF1EAF">
      <w:pPr>
        <w:pStyle w:val="NormalWeb"/>
        <w:spacing w:after="0" w:line="360" w:lineRule="auto"/>
        <w:rPr>
          <w:rFonts w:asciiTheme="majorHAnsi" w:hAnsiTheme="majorHAnsi" w:cstheme="majorHAnsi"/>
          <w:sz w:val="19"/>
          <w:szCs w:val="19"/>
          <w:lang w:val="en-US"/>
        </w:rPr>
      </w:pPr>
      <w:r w:rsidRPr="0032246D">
        <w:rPr>
          <w:rFonts w:asciiTheme="majorHAnsi" w:hAnsiTheme="majorHAnsi" w:cstheme="majorHAnsi"/>
          <w:sz w:val="19"/>
          <w:szCs w:val="19"/>
          <w:lang w:val="en-US"/>
        </w:rPr>
        <w:t>The bas</w:t>
      </w:r>
      <w:r w:rsidR="004417F7">
        <w:rPr>
          <w:rFonts w:asciiTheme="majorHAnsi" w:hAnsiTheme="majorHAnsi" w:cstheme="majorHAnsi"/>
          <w:sz w:val="19"/>
          <w:szCs w:val="19"/>
          <w:lang w:val="en-US"/>
        </w:rPr>
        <w:t>i</w:t>
      </w:r>
      <w:r w:rsidR="00C636C9">
        <w:rPr>
          <w:rFonts w:asciiTheme="majorHAnsi" w:hAnsiTheme="majorHAnsi" w:cstheme="majorHAnsi"/>
          <w:sz w:val="19"/>
          <w:szCs w:val="19"/>
          <w:lang w:val="en-US"/>
        </w:rPr>
        <w:t>s</w:t>
      </w:r>
      <w:r w:rsidRPr="0032246D">
        <w:rPr>
          <w:rFonts w:asciiTheme="majorHAnsi" w:hAnsiTheme="majorHAnsi" w:cstheme="majorHAnsi"/>
          <w:sz w:val="19"/>
          <w:szCs w:val="19"/>
          <w:lang w:val="en-US"/>
        </w:rPr>
        <w:t xml:space="preserve"> for my qualified opinion </w:t>
      </w:r>
      <w:proofErr w:type="gramStart"/>
      <w:r w:rsidR="00652778">
        <w:rPr>
          <w:rFonts w:asciiTheme="majorHAnsi" w:hAnsiTheme="majorHAnsi" w:cstheme="majorHAnsi"/>
          <w:sz w:val="19"/>
          <w:szCs w:val="19"/>
          <w:lang w:val="en-US"/>
        </w:rPr>
        <w:t>are</w:t>
      </w:r>
      <w:proofErr w:type="gramEnd"/>
      <w:r w:rsidRPr="0032246D">
        <w:rPr>
          <w:rFonts w:asciiTheme="majorHAnsi" w:hAnsiTheme="majorHAnsi" w:cstheme="majorHAnsi"/>
          <w:sz w:val="19"/>
          <w:szCs w:val="19"/>
          <w:lang w:val="en-US"/>
        </w:rPr>
        <w:t xml:space="preserve"> as follows:</w:t>
      </w:r>
    </w:p>
    <w:p w14:paraId="29E37452" w14:textId="77777777" w:rsidR="0075214C" w:rsidRPr="00652778" w:rsidRDefault="0075214C" w:rsidP="001F7F05">
      <w:pPr>
        <w:pStyle w:val="BodyText"/>
        <w:spacing w:after="0" w:line="360" w:lineRule="auto"/>
        <w:jc w:val="thaiDistribute"/>
        <w:rPr>
          <w:rFonts w:ascii="Arial" w:hAnsi="Arial"/>
          <w:i/>
          <w:iCs/>
          <w:sz w:val="19"/>
          <w:szCs w:val="19"/>
          <w:lang w:val="en-US"/>
        </w:rPr>
      </w:pPr>
    </w:p>
    <w:p w14:paraId="1F501A25" w14:textId="755D4205" w:rsidR="00153E05" w:rsidRPr="004579FC" w:rsidRDefault="00DA39EA" w:rsidP="00A4235B">
      <w:pPr>
        <w:pStyle w:val="ListParagraph"/>
        <w:numPr>
          <w:ilvl w:val="0"/>
          <w:numId w:val="19"/>
        </w:numPr>
        <w:spacing w:after="0" w:line="360" w:lineRule="auto"/>
        <w:ind w:left="450" w:hanging="450"/>
        <w:contextualSpacing w:val="0"/>
        <w:jc w:val="thaiDistribute"/>
        <w:rPr>
          <w:rFonts w:asciiTheme="majorHAnsi" w:hAnsiTheme="majorHAnsi" w:cstheme="majorHAnsi"/>
          <w:sz w:val="19"/>
          <w:szCs w:val="19"/>
          <w:lang w:val="en-US"/>
        </w:rPr>
      </w:pPr>
      <w:r w:rsidRPr="004579FC">
        <w:rPr>
          <w:rFonts w:asciiTheme="majorHAnsi" w:hAnsiTheme="majorHAnsi" w:cstheme="majorHAnsi"/>
          <w:sz w:val="19"/>
          <w:szCs w:val="19"/>
          <w:lang w:val="en-US"/>
        </w:rPr>
        <w:t>As discussed in Note 1</w:t>
      </w:r>
      <w:r w:rsidR="00EC7774" w:rsidRPr="004579FC">
        <w:rPr>
          <w:rFonts w:asciiTheme="majorHAnsi" w:hAnsiTheme="majorHAnsi" w:cstheme="majorHAnsi"/>
          <w:sz w:val="19"/>
          <w:szCs w:val="19"/>
          <w:lang w:val="en-US"/>
        </w:rPr>
        <w:t>8</w:t>
      </w:r>
      <w:r w:rsidRPr="004579FC">
        <w:rPr>
          <w:rFonts w:asciiTheme="majorHAnsi" w:hAnsiTheme="majorHAnsi" w:cstheme="majorHAnsi"/>
          <w:sz w:val="19"/>
          <w:szCs w:val="19"/>
          <w:lang w:val="en-US"/>
        </w:rPr>
        <w:t xml:space="preserve"> to the financial statements, the consolidated and separate financial statement </w:t>
      </w:r>
      <w:r w:rsidR="0047377C">
        <w:rPr>
          <w:rFonts w:asciiTheme="majorHAnsi" w:hAnsiTheme="majorHAnsi" w:cstheme="majorHAnsi"/>
          <w:sz w:val="19"/>
          <w:szCs w:val="19"/>
          <w:lang w:val="en-US"/>
        </w:rPr>
        <w:t xml:space="preserve">as </w:t>
      </w:r>
      <w:proofErr w:type="gramStart"/>
      <w:r w:rsidR="0047377C">
        <w:rPr>
          <w:rFonts w:asciiTheme="majorHAnsi" w:hAnsiTheme="majorHAnsi" w:cstheme="majorHAnsi"/>
          <w:sz w:val="19"/>
          <w:szCs w:val="19"/>
          <w:lang w:val="en-US"/>
        </w:rPr>
        <w:t>at</w:t>
      </w:r>
      <w:proofErr w:type="gramEnd"/>
      <w:r w:rsidR="0047377C">
        <w:rPr>
          <w:rFonts w:asciiTheme="majorHAnsi" w:hAnsiTheme="majorHAnsi" w:cstheme="majorHAnsi"/>
          <w:sz w:val="19"/>
          <w:szCs w:val="19"/>
          <w:lang w:val="en-US"/>
        </w:rPr>
        <w:t xml:space="preserve"> 31 December 2020 </w:t>
      </w:r>
      <w:r w:rsidRPr="004579FC">
        <w:rPr>
          <w:rFonts w:asciiTheme="majorHAnsi" w:hAnsiTheme="majorHAnsi" w:cstheme="majorHAnsi"/>
          <w:sz w:val="19"/>
          <w:szCs w:val="19"/>
          <w:lang w:val="en-US"/>
        </w:rPr>
        <w:t xml:space="preserve">include the development costs for concession right </w:t>
      </w:r>
      <w:r w:rsidR="00FC6F17" w:rsidRPr="004579FC">
        <w:rPr>
          <w:rFonts w:asciiTheme="majorHAnsi" w:hAnsiTheme="majorHAnsi" w:cstheme="majorHAnsi"/>
          <w:sz w:val="19"/>
          <w:szCs w:val="19"/>
          <w:lang w:val="en-US"/>
        </w:rPr>
        <w:t>-</w:t>
      </w:r>
      <w:r w:rsidRPr="004579FC">
        <w:rPr>
          <w:rFonts w:asciiTheme="majorHAnsi" w:hAnsiTheme="majorHAnsi" w:cstheme="majorHAnsi"/>
          <w:sz w:val="19"/>
          <w:szCs w:val="19"/>
          <w:lang w:val="en-US"/>
        </w:rPr>
        <w:t xml:space="preserve"> </w:t>
      </w:r>
      <w:proofErr w:type="spellStart"/>
      <w:r w:rsidRPr="004579FC">
        <w:rPr>
          <w:rFonts w:asciiTheme="majorHAnsi" w:hAnsiTheme="majorHAnsi" w:cstheme="majorHAnsi"/>
          <w:sz w:val="19"/>
          <w:szCs w:val="19"/>
          <w:lang w:val="en-US"/>
        </w:rPr>
        <w:t>Dawei</w:t>
      </w:r>
      <w:proofErr w:type="spellEnd"/>
      <w:r w:rsidRPr="004579FC">
        <w:rPr>
          <w:rFonts w:asciiTheme="majorHAnsi" w:hAnsiTheme="majorHAnsi" w:cstheme="majorHAnsi"/>
          <w:sz w:val="19"/>
          <w:szCs w:val="19"/>
          <w:lang w:val="en-US"/>
        </w:rPr>
        <w:t xml:space="preserve"> Project of Baht 7,8</w:t>
      </w:r>
      <w:r w:rsidR="0057668B" w:rsidRPr="004579FC">
        <w:rPr>
          <w:rFonts w:asciiTheme="majorHAnsi" w:hAnsiTheme="majorHAnsi" w:cstheme="majorHAnsi"/>
          <w:sz w:val="19"/>
          <w:szCs w:val="19"/>
          <w:lang w:val="en-US"/>
        </w:rPr>
        <w:t>2</w:t>
      </w:r>
      <w:r w:rsidRPr="004579FC">
        <w:rPr>
          <w:rFonts w:asciiTheme="majorHAnsi" w:hAnsiTheme="majorHAnsi" w:cstheme="majorHAnsi"/>
          <w:sz w:val="19"/>
          <w:szCs w:val="19"/>
          <w:lang w:val="en-US"/>
        </w:rPr>
        <w:t>5.</w:t>
      </w:r>
      <w:r w:rsidR="0057668B" w:rsidRPr="004579FC">
        <w:rPr>
          <w:rFonts w:asciiTheme="majorHAnsi" w:hAnsiTheme="majorHAnsi" w:cstheme="majorHAnsi"/>
          <w:sz w:val="19"/>
          <w:szCs w:val="19"/>
          <w:lang w:val="en-US"/>
        </w:rPr>
        <w:t>34</w:t>
      </w:r>
      <w:r w:rsidRPr="004579FC">
        <w:rPr>
          <w:rFonts w:asciiTheme="majorHAnsi" w:hAnsiTheme="majorHAnsi" w:cstheme="majorHAnsi"/>
          <w:sz w:val="19"/>
          <w:szCs w:val="19"/>
          <w:lang w:val="en-US"/>
        </w:rPr>
        <w:t xml:space="preserve"> million and Baht 5,205.96 million, respectively. Such amounts represent</w:t>
      </w:r>
      <w:r w:rsidR="00666BFF" w:rsidRPr="004579FC">
        <w:rPr>
          <w:rFonts w:asciiTheme="majorHAnsi" w:hAnsiTheme="majorHAnsi" w:cstheme="majorHAnsi"/>
          <w:sz w:val="19"/>
          <w:szCs w:val="19"/>
          <w:lang w:val="en-US"/>
        </w:rPr>
        <w:t xml:space="preserve"> project</w:t>
      </w:r>
      <w:r w:rsidRPr="004579FC">
        <w:rPr>
          <w:rFonts w:asciiTheme="majorHAnsi" w:hAnsiTheme="majorHAnsi" w:cstheme="majorHAnsi"/>
          <w:sz w:val="19"/>
          <w:szCs w:val="19"/>
          <w:lang w:val="en-US"/>
        </w:rPr>
        <w:t xml:space="preserve"> </w:t>
      </w:r>
      <w:r w:rsidR="00596E65" w:rsidRPr="004579FC">
        <w:rPr>
          <w:rFonts w:asciiTheme="majorHAnsi" w:hAnsiTheme="majorHAnsi" w:cstheme="majorHAnsi"/>
          <w:sz w:val="19"/>
          <w:szCs w:val="19"/>
          <w:lang w:val="en-US"/>
        </w:rPr>
        <w:t>costs</w:t>
      </w:r>
      <w:r w:rsidRPr="004579FC">
        <w:rPr>
          <w:rFonts w:asciiTheme="majorHAnsi" w:hAnsiTheme="majorHAnsi" w:cstheme="majorHAnsi"/>
          <w:sz w:val="19"/>
          <w:szCs w:val="19"/>
          <w:lang w:val="en-US" w:bidi="th-TH"/>
        </w:rPr>
        <w:t xml:space="preserve"> for </w:t>
      </w:r>
      <w:r w:rsidRPr="004579FC">
        <w:rPr>
          <w:rFonts w:asciiTheme="majorHAnsi" w:hAnsiTheme="majorHAnsi" w:cstheme="majorHAnsi"/>
          <w:sz w:val="19"/>
          <w:szCs w:val="19"/>
          <w:lang w:val="en-US"/>
        </w:rPr>
        <w:t xml:space="preserve">developing the industrial estate and related infrastructure and utilities in the </w:t>
      </w:r>
      <w:proofErr w:type="spellStart"/>
      <w:r w:rsidRPr="004579FC">
        <w:rPr>
          <w:rFonts w:asciiTheme="majorHAnsi" w:hAnsiTheme="majorHAnsi" w:cstheme="majorHAnsi"/>
          <w:sz w:val="19"/>
          <w:szCs w:val="19"/>
          <w:lang w:val="en-US"/>
        </w:rPr>
        <w:t>Dawei</w:t>
      </w:r>
      <w:proofErr w:type="spellEnd"/>
      <w:r w:rsidRPr="004579FC">
        <w:rPr>
          <w:rFonts w:asciiTheme="majorHAnsi" w:hAnsiTheme="majorHAnsi" w:cstheme="majorHAnsi"/>
          <w:sz w:val="19"/>
          <w:szCs w:val="19"/>
          <w:lang w:val="en-US"/>
        </w:rPr>
        <w:t xml:space="preserve"> Special Economic Zone (“DSEZ”)</w:t>
      </w:r>
      <w:r w:rsidR="00666BFF" w:rsidRPr="004579FC">
        <w:rPr>
          <w:rFonts w:asciiTheme="majorHAnsi" w:hAnsiTheme="majorHAnsi" w:cstheme="majorHAnsi"/>
          <w:sz w:val="19"/>
          <w:szCs w:val="19"/>
          <w:lang w:val="en-US"/>
        </w:rPr>
        <w:t xml:space="preserve"> </w:t>
      </w:r>
      <w:r w:rsidR="00666BFF" w:rsidRPr="004579FC">
        <w:rPr>
          <w:rFonts w:asciiTheme="majorHAnsi" w:hAnsiTheme="majorHAnsi" w:cstheme="majorHAnsi"/>
          <w:sz w:val="19"/>
          <w:szCs w:val="19"/>
          <w:lang w:val="en-US" w:bidi="th-TH"/>
        </w:rPr>
        <w:t>for obtaining concession right</w:t>
      </w:r>
      <w:r w:rsidRPr="004579FC">
        <w:rPr>
          <w:rFonts w:asciiTheme="majorHAnsi" w:hAnsiTheme="majorHAnsi" w:cstheme="majorHAnsi"/>
          <w:sz w:val="19"/>
          <w:szCs w:val="19"/>
          <w:lang w:val="en-US"/>
        </w:rPr>
        <w:t>. Such development right was previously granted by the government of the Republic of the</w:t>
      </w:r>
      <w:r w:rsidRPr="004579FC">
        <w:rPr>
          <w:rFonts w:asciiTheme="majorHAnsi" w:hAnsiTheme="majorHAnsi" w:cstheme="majorHAnsi"/>
          <w:sz w:val="19"/>
          <w:szCs w:val="19"/>
          <w:cs/>
          <w:lang w:val="en-US" w:bidi="th-TH"/>
        </w:rPr>
        <w:t xml:space="preserve"> </w:t>
      </w:r>
      <w:r w:rsidRPr="004579FC">
        <w:rPr>
          <w:rFonts w:asciiTheme="majorHAnsi" w:hAnsiTheme="majorHAnsi" w:cstheme="majorHAnsi"/>
          <w:sz w:val="19"/>
          <w:szCs w:val="19"/>
          <w:lang w:val="en-US" w:bidi="th-TH"/>
        </w:rPr>
        <w:t>Union of Myanmar</w:t>
      </w:r>
      <w:r w:rsidR="00FA0A0A" w:rsidRPr="004579FC">
        <w:rPr>
          <w:rFonts w:asciiTheme="majorHAnsi" w:hAnsiTheme="majorHAnsi" w:cstheme="majorHAnsi"/>
          <w:sz w:val="19"/>
          <w:szCs w:val="19"/>
          <w:lang w:val="en-US" w:bidi="th-TH"/>
        </w:rPr>
        <w:t xml:space="preserve"> </w:t>
      </w:r>
      <w:r w:rsidR="00940D2D" w:rsidRPr="004579FC">
        <w:rPr>
          <w:rFonts w:asciiTheme="majorHAnsi" w:hAnsiTheme="majorHAnsi" w:cstheme="majorHAnsi"/>
          <w:sz w:val="19"/>
          <w:szCs w:val="19"/>
          <w:lang w:val="en-US" w:bidi="th-TH"/>
        </w:rPr>
        <w:t>(</w:t>
      </w:r>
      <w:r w:rsidR="00EB0EA1" w:rsidRPr="004579FC">
        <w:rPr>
          <w:rFonts w:asciiTheme="majorHAnsi" w:hAnsiTheme="majorHAnsi" w:cstheme="majorHAnsi"/>
          <w:sz w:val="19"/>
          <w:szCs w:val="19"/>
          <w:lang w:val="en-US" w:bidi="th-TH"/>
        </w:rPr>
        <w:t>the project</w:t>
      </w:r>
      <w:r w:rsidR="00940D2D" w:rsidRPr="004579FC">
        <w:rPr>
          <w:rFonts w:asciiTheme="majorHAnsi" w:hAnsiTheme="majorHAnsi" w:cstheme="majorHAnsi"/>
          <w:sz w:val="19"/>
          <w:szCs w:val="19"/>
          <w:lang w:val="en-US" w:bidi="th-TH"/>
        </w:rPr>
        <w:t xml:space="preserve"> </w:t>
      </w:r>
      <w:r w:rsidR="005A09E6" w:rsidRPr="004579FC">
        <w:rPr>
          <w:rFonts w:asciiTheme="majorHAnsi" w:hAnsiTheme="majorHAnsi" w:cstheme="majorHAnsi"/>
          <w:sz w:val="19"/>
          <w:szCs w:val="19"/>
          <w:lang w:val="en-US" w:bidi="th-TH"/>
        </w:rPr>
        <w:t xml:space="preserve">is </w:t>
      </w:r>
      <w:r w:rsidR="00C45305" w:rsidRPr="004579FC">
        <w:rPr>
          <w:rFonts w:asciiTheme="majorHAnsi" w:hAnsiTheme="majorHAnsi" w:cstheme="majorHAnsi"/>
          <w:sz w:val="19"/>
          <w:szCs w:val="19"/>
          <w:lang w:val="en-US" w:bidi="th-TH"/>
        </w:rPr>
        <w:t>manage</w:t>
      </w:r>
      <w:r w:rsidR="00B87357" w:rsidRPr="004579FC">
        <w:rPr>
          <w:rFonts w:asciiTheme="majorHAnsi" w:hAnsiTheme="majorHAnsi" w:cstheme="majorHAnsi"/>
          <w:sz w:val="19"/>
          <w:szCs w:val="19"/>
          <w:lang w:val="en-US" w:bidi="th-TH"/>
        </w:rPr>
        <w:t>d</w:t>
      </w:r>
      <w:r w:rsidR="00EB0EA1" w:rsidRPr="004579FC">
        <w:rPr>
          <w:rFonts w:asciiTheme="majorHAnsi" w:hAnsiTheme="majorHAnsi" w:cstheme="majorHAnsi"/>
          <w:sz w:val="19"/>
          <w:szCs w:val="19"/>
          <w:lang w:val="en-US" w:bidi="th-TH"/>
        </w:rPr>
        <w:t xml:space="preserve"> by </w:t>
      </w:r>
      <w:proofErr w:type="spellStart"/>
      <w:r w:rsidR="00EB0EA1" w:rsidRPr="004579FC">
        <w:rPr>
          <w:rFonts w:asciiTheme="majorHAnsi" w:hAnsiTheme="majorHAnsi" w:cstheme="majorHAnsi"/>
          <w:sz w:val="19"/>
          <w:szCs w:val="19"/>
          <w:lang w:val="en-US" w:bidi="th-TH"/>
        </w:rPr>
        <w:t>Dawei</w:t>
      </w:r>
      <w:proofErr w:type="spellEnd"/>
      <w:r w:rsidR="00EB0EA1" w:rsidRPr="004579FC">
        <w:rPr>
          <w:rFonts w:asciiTheme="majorHAnsi" w:hAnsiTheme="majorHAnsi" w:cstheme="majorHAnsi"/>
          <w:sz w:val="19"/>
          <w:szCs w:val="19"/>
          <w:lang w:val="en-US" w:bidi="th-TH"/>
        </w:rPr>
        <w:t xml:space="preserve"> Special Economic </w:t>
      </w:r>
      <w:r w:rsidR="00906747" w:rsidRPr="004579FC">
        <w:rPr>
          <w:rFonts w:asciiTheme="majorHAnsi" w:hAnsiTheme="majorHAnsi" w:cstheme="majorHAnsi"/>
          <w:sz w:val="19"/>
          <w:szCs w:val="19"/>
          <w:lang w:val="en-US" w:bidi="th-TH"/>
        </w:rPr>
        <w:t xml:space="preserve">Zone Management Committee, </w:t>
      </w:r>
      <w:r w:rsidR="00940D2D" w:rsidRPr="004579FC">
        <w:rPr>
          <w:rFonts w:asciiTheme="majorHAnsi" w:hAnsiTheme="majorHAnsi" w:cstheme="majorHAnsi"/>
          <w:sz w:val="19"/>
          <w:szCs w:val="19"/>
          <w:lang w:val="en-US" w:bidi="th-TH"/>
        </w:rPr>
        <w:t>“</w:t>
      </w:r>
      <w:r w:rsidR="00906747" w:rsidRPr="004579FC">
        <w:rPr>
          <w:rFonts w:asciiTheme="majorHAnsi" w:hAnsiTheme="majorHAnsi" w:cstheme="majorHAnsi"/>
          <w:sz w:val="19"/>
          <w:szCs w:val="19"/>
          <w:lang w:val="en-US" w:bidi="th-TH"/>
        </w:rPr>
        <w:t>DSEZ MC</w:t>
      </w:r>
      <w:r w:rsidR="00940D2D" w:rsidRPr="004579FC">
        <w:rPr>
          <w:rFonts w:asciiTheme="majorHAnsi" w:hAnsiTheme="majorHAnsi" w:cstheme="majorHAnsi"/>
          <w:sz w:val="19"/>
          <w:szCs w:val="19"/>
          <w:lang w:val="en-US" w:bidi="th-TH"/>
        </w:rPr>
        <w:t>”</w:t>
      </w:r>
      <w:r w:rsidR="00906747" w:rsidRPr="004579FC">
        <w:rPr>
          <w:rFonts w:asciiTheme="majorHAnsi" w:hAnsiTheme="majorHAnsi" w:cstheme="majorHAnsi"/>
          <w:sz w:val="19"/>
          <w:szCs w:val="19"/>
          <w:lang w:val="en-US" w:bidi="th-TH"/>
        </w:rPr>
        <w:t>).</w:t>
      </w:r>
      <w:r w:rsidRPr="004579FC">
        <w:rPr>
          <w:rFonts w:asciiTheme="majorHAnsi" w:hAnsiTheme="majorHAnsi" w:cstheme="majorHAnsi"/>
          <w:sz w:val="19"/>
          <w:szCs w:val="19"/>
          <w:lang w:val="en-US" w:bidi="th-TH"/>
        </w:rPr>
        <w:t xml:space="preserve"> </w:t>
      </w:r>
      <w:r w:rsidR="00906747" w:rsidRPr="004579FC">
        <w:rPr>
          <w:rFonts w:asciiTheme="majorHAnsi" w:hAnsiTheme="majorHAnsi" w:cstheme="majorHAnsi"/>
          <w:sz w:val="19"/>
          <w:szCs w:val="19"/>
          <w:lang w:val="en-US" w:bidi="th-TH"/>
        </w:rPr>
        <w:t>T</w:t>
      </w:r>
      <w:r w:rsidRPr="004579FC">
        <w:rPr>
          <w:rFonts w:asciiTheme="majorHAnsi" w:hAnsiTheme="majorHAnsi" w:cstheme="majorHAnsi"/>
          <w:sz w:val="19"/>
          <w:szCs w:val="19"/>
          <w:lang w:val="en-US" w:bidi="th-TH"/>
        </w:rPr>
        <w:t>he Group had developed some areas in this project</w:t>
      </w:r>
      <w:r w:rsidR="00F31E8F" w:rsidRPr="004579FC">
        <w:rPr>
          <w:rFonts w:asciiTheme="majorHAnsi" w:hAnsiTheme="majorHAnsi" w:cstheme="majorHAnsi"/>
          <w:sz w:val="19"/>
          <w:szCs w:val="19"/>
          <w:lang w:val="en-US" w:bidi="th-TH"/>
        </w:rPr>
        <w:t xml:space="preserve"> since the year 2010</w:t>
      </w:r>
      <w:r w:rsidRPr="004579FC">
        <w:rPr>
          <w:rFonts w:asciiTheme="majorHAnsi" w:hAnsiTheme="majorHAnsi" w:cstheme="majorHAnsi"/>
          <w:sz w:val="19"/>
          <w:szCs w:val="19"/>
          <w:lang w:val="en-US" w:bidi="th-TH"/>
        </w:rPr>
        <w:t>. Subsequently</w:t>
      </w:r>
      <w:r w:rsidR="005341D6" w:rsidRPr="004579FC">
        <w:rPr>
          <w:rFonts w:asciiTheme="majorHAnsi" w:hAnsiTheme="majorHAnsi" w:cstheme="majorHAnsi"/>
          <w:sz w:val="19"/>
          <w:szCs w:val="19"/>
          <w:lang w:val="en-US" w:bidi="th-TH"/>
        </w:rPr>
        <w:t xml:space="preserve"> in the year 2013,</w:t>
      </w:r>
      <w:r w:rsidRPr="004579FC">
        <w:rPr>
          <w:rFonts w:asciiTheme="majorHAnsi" w:hAnsiTheme="majorHAnsi" w:cstheme="majorHAnsi"/>
          <w:sz w:val="19"/>
          <w:szCs w:val="19"/>
          <w:lang w:val="en-US" w:bidi="th-TH"/>
        </w:rPr>
        <w:t xml:space="preserve"> such </w:t>
      </w:r>
      <w:r w:rsidRPr="004579FC">
        <w:rPr>
          <w:rFonts w:asciiTheme="majorHAnsi" w:hAnsiTheme="majorHAnsi" w:cstheme="majorHAnsi"/>
          <w:sz w:val="19"/>
          <w:szCs w:val="19"/>
          <w:lang w:val="en-US"/>
        </w:rPr>
        <w:t xml:space="preserve">project under development has been </w:t>
      </w:r>
      <w:r w:rsidR="005529A7" w:rsidRPr="004579FC">
        <w:rPr>
          <w:rFonts w:asciiTheme="majorHAnsi" w:hAnsiTheme="majorHAnsi" w:cstheme="majorHAnsi"/>
          <w:sz w:val="19"/>
          <w:szCs w:val="19"/>
          <w:lang w:val="en-US"/>
        </w:rPr>
        <w:t>supported</w:t>
      </w:r>
      <w:r w:rsidRPr="004579FC">
        <w:rPr>
          <w:rFonts w:asciiTheme="majorHAnsi" w:hAnsiTheme="majorHAnsi" w:cstheme="majorHAnsi"/>
          <w:sz w:val="19"/>
          <w:szCs w:val="19"/>
          <w:lang w:val="en-US"/>
        </w:rPr>
        <w:t xml:space="preserve"> by the </w:t>
      </w:r>
      <w:r w:rsidR="005A09E6" w:rsidRPr="004579FC">
        <w:rPr>
          <w:rFonts w:asciiTheme="majorHAnsi" w:hAnsiTheme="majorHAnsi" w:cstheme="majorHAnsi"/>
          <w:sz w:val="19"/>
          <w:szCs w:val="19"/>
          <w:lang w:val="en-US"/>
        </w:rPr>
        <w:t>G</w:t>
      </w:r>
      <w:r w:rsidRPr="004579FC">
        <w:rPr>
          <w:rFonts w:asciiTheme="majorHAnsi" w:hAnsiTheme="majorHAnsi" w:cstheme="majorHAnsi"/>
          <w:sz w:val="19"/>
          <w:szCs w:val="19"/>
          <w:lang w:val="en-US"/>
        </w:rPr>
        <w:t>overnments of Thailand and</w:t>
      </w:r>
      <w:r w:rsidRPr="004579FC">
        <w:rPr>
          <w:rFonts w:asciiTheme="majorHAnsi" w:hAnsiTheme="majorHAnsi" w:cstheme="majorHAnsi"/>
          <w:sz w:val="19"/>
          <w:szCs w:val="19"/>
          <w:cs/>
          <w:lang w:val="en-US"/>
        </w:rPr>
        <w:t xml:space="preserve"> </w:t>
      </w:r>
      <w:r w:rsidRPr="004579FC">
        <w:rPr>
          <w:rFonts w:asciiTheme="majorHAnsi" w:hAnsiTheme="majorHAnsi" w:cstheme="majorHAnsi"/>
          <w:sz w:val="19"/>
          <w:szCs w:val="19"/>
          <w:lang w:val="en-US"/>
        </w:rPr>
        <w:t>the Republic of the Union of Myanmar</w:t>
      </w:r>
      <w:r w:rsidR="00732822" w:rsidRPr="004579FC">
        <w:rPr>
          <w:rFonts w:asciiTheme="majorHAnsi" w:hAnsiTheme="majorHAnsi" w:cstheme="majorHAnsi"/>
          <w:sz w:val="19"/>
          <w:szCs w:val="19"/>
          <w:lang w:val="en-US"/>
        </w:rPr>
        <w:t xml:space="preserve"> </w:t>
      </w:r>
      <w:r w:rsidRPr="004579FC">
        <w:rPr>
          <w:rFonts w:asciiTheme="majorHAnsi" w:hAnsiTheme="majorHAnsi" w:cstheme="majorHAnsi"/>
          <w:sz w:val="19"/>
          <w:szCs w:val="19"/>
          <w:lang w:val="en-US"/>
        </w:rPr>
        <w:t>which had established the Special Purpose Vehicle (</w:t>
      </w:r>
      <w:proofErr w:type="spellStart"/>
      <w:r w:rsidR="00A46501" w:rsidRPr="004579FC">
        <w:rPr>
          <w:rFonts w:asciiTheme="majorHAnsi" w:hAnsiTheme="majorHAnsi" w:cstheme="majorHAnsi"/>
          <w:sz w:val="19"/>
          <w:szCs w:val="19"/>
          <w:lang w:val="en-US"/>
        </w:rPr>
        <w:t>Dawei</w:t>
      </w:r>
      <w:proofErr w:type="spellEnd"/>
      <w:r w:rsidR="00A46501" w:rsidRPr="004579FC">
        <w:rPr>
          <w:rFonts w:asciiTheme="majorHAnsi" w:hAnsiTheme="majorHAnsi" w:cstheme="majorHAnsi"/>
          <w:sz w:val="19"/>
          <w:szCs w:val="19"/>
          <w:lang w:val="en-US"/>
        </w:rPr>
        <w:t xml:space="preserve"> SEZ Development Company Limited </w:t>
      </w:r>
      <w:r w:rsidRPr="004579FC">
        <w:rPr>
          <w:rFonts w:asciiTheme="majorHAnsi" w:hAnsiTheme="majorHAnsi" w:cstheme="majorHAnsi"/>
          <w:sz w:val="19"/>
          <w:szCs w:val="19"/>
          <w:lang w:val="en-US"/>
        </w:rPr>
        <w:t xml:space="preserve">“SPV”) to mutually promote the project and determine the development policy of the project. </w:t>
      </w:r>
      <w:r w:rsidR="007D3F2D" w:rsidRPr="004579FC">
        <w:t>T</w:t>
      </w:r>
      <w:r w:rsidRPr="004579FC">
        <w:rPr>
          <w:rFonts w:asciiTheme="majorHAnsi" w:hAnsiTheme="majorHAnsi" w:cstheme="majorHAnsi"/>
          <w:sz w:val="19"/>
          <w:szCs w:val="19"/>
          <w:lang w:val="en-US" w:bidi="th-TH"/>
        </w:rPr>
        <w:t xml:space="preserve">he </w:t>
      </w:r>
      <w:r w:rsidR="005E0275" w:rsidRPr="004579FC">
        <w:rPr>
          <w:rFonts w:asciiTheme="majorHAnsi" w:hAnsiTheme="majorHAnsi" w:cstheme="majorHAnsi"/>
          <w:sz w:val="19"/>
          <w:szCs w:val="19"/>
          <w:lang w:val="en-US" w:bidi="th-TH"/>
        </w:rPr>
        <w:t>DSEZ</w:t>
      </w:r>
      <w:r w:rsidR="00FE26B2" w:rsidRPr="004579FC">
        <w:rPr>
          <w:rFonts w:asciiTheme="majorHAnsi" w:hAnsiTheme="majorHAnsi" w:cstheme="majorHAnsi"/>
          <w:sz w:val="19"/>
          <w:szCs w:val="19"/>
          <w:lang w:val="en-US" w:bidi="th-TH"/>
        </w:rPr>
        <w:t xml:space="preserve"> MC and </w:t>
      </w:r>
      <w:r w:rsidRPr="004579FC">
        <w:rPr>
          <w:rFonts w:asciiTheme="majorHAnsi" w:hAnsiTheme="majorHAnsi" w:cstheme="majorHAnsi"/>
          <w:sz w:val="19"/>
          <w:szCs w:val="19"/>
          <w:lang w:val="en-US" w:bidi="th-TH"/>
        </w:rPr>
        <w:t xml:space="preserve">SPV </w:t>
      </w:r>
      <w:r w:rsidRPr="004579FC">
        <w:rPr>
          <w:rFonts w:asciiTheme="majorHAnsi" w:hAnsiTheme="majorHAnsi" w:cstheme="majorHAnsi"/>
          <w:sz w:val="19"/>
          <w:szCs w:val="19"/>
          <w:lang w:val="en-US"/>
        </w:rPr>
        <w:t xml:space="preserve">determined to reimburse the Group the previously costs incurred </w:t>
      </w:r>
      <w:r w:rsidR="000A6D65" w:rsidRPr="004579FC">
        <w:rPr>
          <w:rFonts w:asciiTheme="majorHAnsi" w:hAnsiTheme="majorHAnsi" w:cstheme="majorHAnsi"/>
          <w:sz w:val="19"/>
          <w:szCs w:val="19"/>
          <w:lang w:val="en-US"/>
        </w:rPr>
        <w:t xml:space="preserve">under Tripartite Memorandum. The reimbursement </w:t>
      </w:r>
      <w:r w:rsidR="00C03DFC" w:rsidRPr="004579FC">
        <w:rPr>
          <w:rFonts w:asciiTheme="majorHAnsi" w:hAnsiTheme="majorHAnsi" w:cstheme="majorHAnsi"/>
          <w:sz w:val="19"/>
          <w:szCs w:val="19"/>
          <w:lang w:val="en-US"/>
        </w:rPr>
        <w:t>will</w:t>
      </w:r>
      <w:r w:rsidRPr="004579FC">
        <w:rPr>
          <w:rFonts w:asciiTheme="majorHAnsi" w:hAnsiTheme="majorHAnsi" w:cstheme="majorHAnsi"/>
          <w:sz w:val="19"/>
          <w:szCs w:val="19"/>
          <w:lang w:val="en-US"/>
        </w:rPr>
        <w:t xml:space="preserve"> be obtained from new investors of each concession project in accordance </w:t>
      </w:r>
      <w:proofErr w:type="gramStart"/>
      <w:r w:rsidRPr="004579FC">
        <w:rPr>
          <w:rFonts w:asciiTheme="majorHAnsi" w:hAnsiTheme="majorHAnsi" w:cstheme="majorHAnsi"/>
          <w:sz w:val="19"/>
          <w:szCs w:val="19"/>
          <w:lang w:val="en-US"/>
        </w:rPr>
        <w:t>to</w:t>
      </w:r>
      <w:proofErr w:type="gramEnd"/>
      <w:r w:rsidRPr="004579FC">
        <w:rPr>
          <w:rFonts w:asciiTheme="majorHAnsi" w:hAnsiTheme="majorHAnsi" w:cstheme="majorHAnsi"/>
          <w:sz w:val="19"/>
          <w:szCs w:val="19"/>
          <w:lang w:val="en-US"/>
        </w:rPr>
        <w:t xml:space="preserve"> the results of due diligence assessment undertaken by the consulting firm appointed by the SPV</w:t>
      </w:r>
      <w:r w:rsidR="00C33BC4" w:rsidRPr="004579FC">
        <w:rPr>
          <w:rFonts w:asciiTheme="majorHAnsi" w:hAnsiTheme="majorHAnsi" w:cstheme="majorHAnsi"/>
          <w:sz w:val="19"/>
          <w:szCs w:val="19"/>
          <w:lang w:val="en-US"/>
        </w:rPr>
        <w:t xml:space="preserve">. </w:t>
      </w:r>
      <w:r w:rsidR="0041286E" w:rsidRPr="004579FC">
        <w:rPr>
          <w:rFonts w:asciiTheme="majorHAnsi" w:hAnsiTheme="majorHAnsi" w:cstheme="majorHAnsi"/>
          <w:sz w:val="19"/>
          <w:szCs w:val="19"/>
          <w:lang w:val="en-US"/>
        </w:rPr>
        <w:t xml:space="preserve">The </w:t>
      </w:r>
      <w:r w:rsidR="00E9598C" w:rsidRPr="004579FC">
        <w:rPr>
          <w:rFonts w:asciiTheme="majorHAnsi" w:hAnsiTheme="majorHAnsi" w:cstheme="majorHAnsi"/>
          <w:sz w:val="19"/>
          <w:szCs w:val="19"/>
          <w:lang w:val="en-US"/>
        </w:rPr>
        <w:t>P</w:t>
      </w:r>
      <w:r w:rsidR="0041286E" w:rsidRPr="004579FC">
        <w:rPr>
          <w:rFonts w:asciiTheme="majorHAnsi" w:hAnsiTheme="majorHAnsi" w:cstheme="majorHAnsi"/>
          <w:sz w:val="19"/>
          <w:szCs w:val="19"/>
          <w:lang w:val="en-US"/>
        </w:rPr>
        <w:t>arties under the memorandum has mutually</w:t>
      </w:r>
      <w:r w:rsidR="00C33BC4" w:rsidRPr="004579FC">
        <w:rPr>
          <w:rFonts w:asciiTheme="majorHAnsi" w:hAnsiTheme="majorHAnsi" w:cstheme="majorHAnsi"/>
          <w:sz w:val="19"/>
          <w:szCs w:val="19"/>
          <w:lang w:val="en-US"/>
        </w:rPr>
        <w:t xml:space="preserve"> agreed </w:t>
      </w:r>
      <w:r w:rsidR="0041286E" w:rsidRPr="004579FC">
        <w:rPr>
          <w:rFonts w:asciiTheme="majorHAnsi" w:hAnsiTheme="majorHAnsi" w:cstheme="majorHAnsi"/>
          <w:sz w:val="19"/>
          <w:szCs w:val="19"/>
          <w:lang w:val="en-US"/>
        </w:rPr>
        <w:t xml:space="preserve">that the </w:t>
      </w:r>
      <w:r w:rsidR="00F819CA" w:rsidRPr="004579FC">
        <w:rPr>
          <w:rFonts w:asciiTheme="majorHAnsi" w:hAnsiTheme="majorHAnsi" w:cstheme="majorHAnsi"/>
          <w:sz w:val="19"/>
          <w:szCs w:val="19"/>
          <w:lang w:val="en-US"/>
        </w:rPr>
        <w:t xml:space="preserve">Due Diligence </w:t>
      </w:r>
      <w:r w:rsidR="0041286E" w:rsidRPr="004579FC">
        <w:rPr>
          <w:rFonts w:asciiTheme="majorHAnsi" w:hAnsiTheme="majorHAnsi" w:cstheme="majorHAnsi"/>
          <w:sz w:val="19"/>
          <w:szCs w:val="19"/>
          <w:lang w:val="en-US"/>
        </w:rPr>
        <w:t>re</w:t>
      </w:r>
      <w:r w:rsidR="004131A9" w:rsidRPr="004579FC">
        <w:rPr>
          <w:rFonts w:asciiTheme="majorHAnsi" w:hAnsiTheme="majorHAnsi" w:cstheme="majorHAnsi"/>
          <w:sz w:val="19"/>
          <w:szCs w:val="19"/>
          <w:lang w:val="en-US"/>
        </w:rPr>
        <w:t>port will be</w:t>
      </w:r>
      <w:r w:rsidR="00F819CA" w:rsidRPr="004579FC">
        <w:rPr>
          <w:rFonts w:asciiTheme="majorHAnsi" w:hAnsiTheme="majorHAnsi" w:cstheme="majorHAnsi"/>
          <w:sz w:val="19"/>
          <w:szCs w:val="19"/>
          <w:lang w:val="en-US"/>
        </w:rPr>
        <w:t xml:space="preserve"> submitted</w:t>
      </w:r>
      <w:r w:rsidR="004131A9" w:rsidRPr="004579FC">
        <w:rPr>
          <w:rFonts w:asciiTheme="majorHAnsi" w:hAnsiTheme="majorHAnsi" w:cstheme="majorHAnsi"/>
          <w:sz w:val="19"/>
          <w:szCs w:val="19"/>
          <w:lang w:val="en-US"/>
        </w:rPr>
        <w:t xml:space="preserve"> direct</w:t>
      </w:r>
      <w:r w:rsidR="00A4235B" w:rsidRPr="004579FC">
        <w:rPr>
          <w:rFonts w:asciiTheme="majorHAnsi" w:hAnsiTheme="majorHAnsi" w:cstheme="majorHAnsi"/>
          <w:sz w:val="19"/>
          <w:szCs w:val="19"/>
          <w:lang w:val="en-US"/>
        </w:rPr>
        <w:t>ed and exclusively</w:t>
      </w:r>
      <w:r w:rsidR="004131A9" w:rsidRPr="004579FC">
        <w:rPr>
          <w:rFonts w:asciiTheme="majorHAnsi" w:hAnsiTheme="majorHAnsi" w:cstheme="majorHAnsi"/>
          <w:sz w:val="19"/>
          <w:szCs w:val="19"/>
          <w:lang w:val="en-US"/>
        </w:rPr>
        <w:t xml:space="preserve"> submit to the SPV </w:t>
      </w:r>
      <w:proofErr w:type="gramStart"/>
      <w:r w:rsidR="00E17B74" w:rsidRPr="004579FC">
        <w:rPr>
          <w:rFonts w:asciiTheme="majorHAnsi" w:hAnsiTheme="majorHAnsi" w:cstheme="majorHAnsi"/>
          <w:sz w:val="19"/>
          <w:szCs w:val="19"/>
          <w:lang w:val="en-US"/>
        </w:rPr>
        <w:t>in order to</w:t>
      </w:r>
      <w:proofErr w:type="gramEnd"/>
      <w:r w:rsidR="00E17B74" w:rsidRPr="004579FC">
        <w:rPr>
          <w:rFonts w:asciiTheme="majorHAnsi" w:hAnsiTheme="majorHAnsi" w:cstheme="majorHAnsi"/>
          <w:sz w:val="19"/>
          <w:szCs w:val="19"/>
          <w:lang w:val="en-US"/>
        </w:rPr>
        <w:t xml:space="preserve"> summarize</w:t>
      </w:r>
      <w:r w:rsidR="000D4195" w:rsidRPr="004579FC">
        <w:rPr>
          <w:rFonts w:asciiTheme="majorHAnsi" w:hAnsiTheme="majorHAnsi" w:cstheme="majorHAnsi"/>
          <w:sz w:val="19"/>
          <w:szCs w:val="19"/>
          <w:lang w:val="en-US"/>
        </w:rPr>
        <w:t xml:space="preserve"> amount reimbursement as stip</w:t>
      </w:r>
      <w:r w:rsidR="00E17B74" w:rsidRPr="004579FC">
        <w:rPr>
          <w:rFonts w:asciiTheme="majorHAnsi" w:hAnsiTheme="majorHAnsi" w:cstheme="majorHAnsi"/>
          <w:sz w:val="19"/>
          <w:szCs w:val="19"/>
          <w:lang w:val="en-US"/>
        </w:rPr>
        <w:t xml:space="preserve">ulated in the </w:t>
      </w:r>
      <w:r w:rsidR="00A62B3D" w:rsidRPr="004579FC">
        <w:rPr>
          <w:rFonts w:asciiTheme="majorHAnsi" w:hAnsiTheme="majorHAnsi" w:cstheme="majorHAnsi"/>
          <w:sz w:val="19"/>
          <w:szCs w:val="19"/>
          <w:lang w:val="en-US"/>
        </w:rPr>
        <w:t>T</w:t>
      </w:r>
      <w:r w:rsidR="00E17B74" w:rsidRPr="004579FC">
        <w:rPr>
          <w:rFonts w:asciiTheme="majorHAnsi" w:hAnsiTheme="majorHAnsi" w:cstheme="majorHAnsi"/>
          <w:sz w:val="19"/>
          <w:szCs w:val="19"/>
          <w:lang w:val="en-US"/>
        </w:rPr>
        <w:t xml:space="preserve">erm of </w:t>
      </w:r>
      <w:r w:rsidR="00A62B3D" w:rsidRPr="004579FC">
        <w:rPr>
          <w:rFonts w:asciiTheme="majorHAnsi" w:hAnsiTheme="majorHAnsi" w:cstheme="majorHAnsi"/>
          <w:sz w:val="19"/>
          <w:szCs w:val="19"/>
          <w:lang w:val="en-US"/>
        </w:rPr>
        <w:t>R</w:t>
      </w:r>
      <w:r w:rsidR="00E17B74" w:rsidRPr="004579FC">
        <w:rPr>
          <w:rFonts w:asciiTheme="majorHAnsi" w:hAnsiTheme="majorHAnsi" w:cstheme="majorHAnsi"/>
          <w:sz w:val="19"/>
          <w:szCs w:val="19"/>
          <w:lang w:val="en-US"/>
        </w:rPr>
        <w:t xml:space="preserve">eference (TOR) of </w:t>
      </w:r>
      <w:r w:rsidR="000D4195" w:rsidRPr="004579FC">
        <w:rPr>
          <w:rFonts w:asciiTheme="majorHAnsi" w:hAnsiTheme="majorHAnsi" w:cstheme="majorHAnsi"/>
          <w:sz w:val="19"/>
          <w:szCs w:val="19"/>
          <w:lang w:val="en-US"/>
        </w:rPr>
        <w:t xml:space="preserve">the new investor of each concession. </w:t>
      </w:r>
      <w:r w:rsidR="00B52650" w:rsidRPr="004579FC">
        <w:rPr>
          <w:rFonts w:asciiTheme="majorHAnsi" w:hAnsiTheme="majorHAnsi" w:cstheme="majorHAnsi"/>
          <w:sz w:val="19"/>
          <w:szCs w:val="19"/>
          <w:lang w:val="en-US"/>
        </w:rPr>
        <w:t>Under such mutually</w:t>
      </w:r>
      <w:r w:rsidR="00481DD4" w:rsidRPr="004579FC">
        <w:rPr>
          <w:rFonts w:asciiTheme="majorHAnsi" w:hAnsiTheme="majorHAnsi" w:cstheme="minorBidi" w:hint="cs"/>
          <w:sz w:val="19"/>
          <w:szCs w:val="24"/>
          <w:cs/>
          <w:lang w:val="en-US" w:bidi="th-TH"/>
        </w:rPr>
        <w:t xml:space="preserve"> </w:t>
      </w:r>
      <w:r w:rsidR="00481DD4" w:rsidRPr="004579FC">
        <w:rPr>
          <w:rFonts w:asciiTheme="majorHAnsi" w:hAnsiTheme="majorHAnsi" w:cstheme="minorBidi"/>
          <w:sz w:val="19"/>
          <w:szCs w:val="24"/>
          <w:lang w:val="en-US" w:bidi="th-TH"/>
        </w:rPr>
        <w:t xml:space="preserve">agreed </w:t>
      </w:r>
      <w:r w:rsidR="00B52650" w:rsidRPr="004579FC">
        <w:rPr>
          <w:rFonts w:asciiTheme="majorHAnsi" w:hAnsiTheme="majorHAnsi" w:cstheme="majorHAnsi"/>
          <w:sz w:val="19"/>
          <w:szCs w:val="19"/>
          <w:lang w:val="en-US"/>
        </w:rPr>
        <w:t>memorandum, the Group</w:t>
      </w:r>
      <w:r w:rsidR="000928BA" w:rsidRPr="004579FC">
        <w:rPr>
          <w:rFonts w:asciiTheme="majorHAnsi" w:hAnsiTheme="majorHAnsi" w:cstheme="majorHAnsi"/>
          <w:sz w:val="19"/>
          <w:szCs w:val="19"/>
          <w:lang w:val="en-US"/>
        </w:rPr>
        <w:t xml:space="preserve"> currently does not have </w:t>
      </w:r>
      <w:r w:rsidR="00A569E3" w:rsidRPr="004579FC">
        <w:rPr>
          <w:rFonts w:asciiTheme="majorHAnsi" w:hAnsiTheme="majorHAnsi" w:cstheme="majorHAnsi"/>
          <w:sz w:val="19"/>
          <w:szCs w:val="19"/>
          <w:lang w:val="en-US"/>
        </w:rPr>
        <w:t xml:space="preserve">access </w:t>
      </w:r>
      <w:r w:rsidR="000928BA" w:rsidRPr="004579FC">
        <w:rPr>
          <w:rFonts w:asciiTheme="majorHAnsi" w:hAnsiTheme="majorHAnsi" w:cstheme="majorHAnsi"/>
          <w:sz w:val="19"/>
          <w:szCs w:val="19"/>
          <w:lang w:val="en-US"/>
        </w:rPr>
        <w:t xml:space="preserve">to </w:t>
      </w:r>
      <w:r w:rsidR="00A569E3" w:rsidRPr="004579FC">
        <w:rPr>
          <w:rFonts w:asciiTheme="majorHAnsi" w:hAnsiTheme="majorHAnsi" w:cstheme="majorHAnsi"/>
          <w:sz w:val="19"/>
          <w:szCs w:val="19"/>
          <w:lang w:val="en-US"/>
        </w:rPr>
        <w:t xml:space="preserve">nor </w:t>
      </w:r>
      <w:r w:rsidR="000928BA" w:rsidRPr="004579FC">
        <w:rPr>
          <w:rFonts w:asciiTheme="majorHAnsi" w:hAnsiTheme="majorHAnsi" w:cstheme="majorHAnsi"/>
          <w:sz w:val="19"/>
          <w:szCs w:val="19"/>
          <w:lang w:val="en-US"/>
        </w:rPr>
        <w:t xml:space="preserve">can </w:t>
      </w:r>
      <w:r w:rsidR="00A569E3" w:rsidRPr="004579FC">
        <w:rPr>
          <w:rFonts w:asciiTheme="majorHAnsi" w:hAnsiTheme="majorHAnsi" w:cstheme="majorHAnsi"/>
          <w:sz w:val="19"/>
          <w:szCs w:val="19"/>
          <w:lang w:val="en-US"/>
        </w:rPr>
        <w:t>cl</w:t>
      </w:r>
      <w:r w:rsidR="002C515C" w:rsidRPr="004579FC">
        <w:rPr>
          <w:rFonts w:asciiTheme="majorHAnsi" w:hAnsiTheme="majorHAnsi" w:cstheme="majorHAnsi"/>
          <w:sz w:val="19"/>
          <w:szCs w:val="19"/>
          <w:lang w:val="en-US"/>
        </w:rPr>
        <w:t xml:space="preserve">aim </w:t>
      </w:r>
      <w:r w:rsidR="00C2297A" w:rsidRPr="004579FC">
        <w:rPr>
          <w:rFonts w:asciiTheme="majorHAnsi" w:hAnsiTheme="majorHAnsi" w:cstheme="majorHAnsi"/>
          <w:sz w:val="19"/>
          <w:szCs w:val="19"/>
          <w:lang w:val="en-US"/>
        </w:rPr>
        <w:t>any rights to s</w:t>
      </w:r>
      <w:r w:rsidR="00F3527E" w:rsidRPr="004579FC">
        <w:rPr>
          <w:rFonts w:asciiTheme="majorHAnsi" w:hAnsiTheme="majorHAnsi" w:cstheme="majorHAnsi"/>
          <w:sz w:val="19"/>
          <w:szCs w:val="19"/>
          <w:lang w:val="en-US"/>
        </w:rPr>
        <w:t xml:space="preserve">uch Due Diligence </w:t>
      </w:r>
      <w:r w:rsidR="00B76894" w:rsidRPr="004579FC">
        <w:rPr>
          <w:rFonts w:asciiTheme="majorHAnsi" w:hAnsiTheme="majorHAnsi" w:cstheme="majorHAnsi"/>
          <w:sz w:val="19"/>
          <w:szCs w:val="19"/>
          <w:lang w:val="en-US"/>
        </w:rPr>
        <w:t>report</w:t>
      </w:r>
      <w:r w:rsidR="00F3527E" w:rsidRPr="004579FC">
        <w:rPr>
          <w:rFonts w:asciiTheme="majorHAnsi" w:hAnsiTheme="majorHAnsi" w:cstheme="majorHAnsi"/>
          <w:sz w:val="19"/>
          <w:szCs w:val="19"/>
          <w:lang w:val="en-US"/>
        </w:rPr>
        <w:t xml:space="preserve">. </w:t>
      </w:r>
    </w:p>
    <w:p w14:paraId="5FD8D4D9" w14:textId="349E1207" w:rsidR="00340A02" w:rsidRDefault="00340A02"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2F26704F" w14:textId="70AF5166" w:rsidR="005606C2" w:rsidRDefault="005606C2"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10D2B9EF" w14:textId="7F33AD4F" w:rsidR="005606C2" w:rsidRDefault="005606C2"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7C8CA555" w14:textId="3AAFB4FA" w:rsidR="005606C2" w:rsidRDefault="005606C2"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01BEA17B" w14:textId="0D3456B8" w:rsidR="005606C2" w:rsidRDefault="005606C2"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2BEF9B19" w14:textId="221DE826" w:rsidR="00AC7220" w:rsidRDefault="00AC7220"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705FBA04" w14:textId="23701ED8" w:rsidR="00AC7220" w:rsidRDefault="00AC7220"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1F5C13D2" w14:textId="2A71207A" w:rsidR="00AC7220" w:rsidRDefault="00AC7220"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50F7C335" w14:textId="4C08AEC1" w:rsidR="00AC7220" w:rsidRDefault="00AC7220"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04250E8A" w14:textId="1CAB713E" w:rsidR="00AC7220" w:rsidRDefault="00AC7220"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78241855" w14:textId="1BC679A8" w:rsidR="00AC7220" w:rsidRDefault="00AC7220"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2835D06A" w14:textId="338936B2" w:rsidR="00AC7220" w:rsidRDefault="00AC7220"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32040961" w14:textId="5FE8A959" w:rsidR="00AC7220" w:rsidRDefault="00AC7220"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7BB5B6BC" w14:textId="053050B9" w:rsidR="00AC7220" w:rsidRDefault="00AC7220"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29957797" w14:textId="6619A00A" w:rsidR="00AC7220" w:rsidRDefault="00AC7220" w:rsidP="00340A02">
      <w:pPr>
        <w:pStyle w:val="ListParagraph"/>
        <w:spacing w:after="0" w:line="360" w:lineRule="auto"/>
        <w:ind w:left="450"/>
        <w:contextualSpacing w:val="0"/>
        <w:jc w:val="thaiDistribute"/>
        <w:rPr>
          <w:rFonts w:asciiTheme="majorHAnsi" w:hAnsiTheme="majorHAnsi" w:cstheme="majorHAnsi"/>
          <w:sz w:val="19"/>
          <w:szCs w:val="19"/>
          <w:lang w:val="en-US"/>
        </w:rPr>
      </w:pPr>
    </w:p>
    <w:p w14:paraId="3119D903" w14:textId="77777777" w:rsidR="00514B59" w:rsidRDefault="00514B59" w:rsidP="00AF17C5">
      <w:pPr>
        <w:pStyle w:val="ListParagraph"/>
        <w:spacing w:after="0" w:line="360" w:lineRule="auto"/>
        <w:ind w:left="450"/>
        <w:contextualSpacing w:val="0"/>
        <w:jc w:val="thaiDistribute"/>
        <w:rPr>
          <w:rFonts w:asciiTheme="majorHAnsi" w:hAnsiTheme="majorHAnsi" w:cstheme="majorHAnsi"/>
          <w:sz w:val="19"/>
          <w:szCs w:val="19"/>
          <w:lang w:val="en-US"/>
        </w:rPr>
      </w:pPr>
    </w:p>
    <w:p w14:paraId="70E1C3BC" w14:textId="77777777" w:rsidR="00514B59" w:rsidRDefault="00514B59" w:rsidP="00AF17C5">
      <w:pPr>
        <w:pStyle w:val="ListParagraph"/>
        <w:spacing w:after="0" w:line="360" w:lineRule="auto"/>
        <w:ind w:left="450"/>
        <w:contextualSpacing w:val="0"/>
        <w:jc w:val="thaiDistribute"/>
        <w:rPr>
          <w:rFonts w:asciiTheme="majorHAnsi" w:hAnsiTheme="majorHAnsi" w:cstheme="majorHAnsi"/>
          <w:sz w:val="19"/>
          <w:szCs w:val="19"/>
          <w:lang w:val="en-US"/>
        </w:rPr>
      </w:pPr>
    </w:p>
    <w:p w14:paraId="5FAB24B2" w14:textId="77777777" w:rsidR="00514B59" w:rsidRDefault="00514B59" w:rsidP="00AF17C5">
      <w:pPr>
        <w:pStyle w:val="ListParagraph"/>
        <w:spacing w:after="0" w:line="360" w:lineRule="auto"/>
        <w:ind w:left="450"/>
        <w:contextualSpacing w:val="0"/>
        <w:jc w:val="thaiDistribute"/>
        <w:rPr>
          <w:rFonts w:asciiTheme="majorHAnsi" w:hAnsiTheme="majorHAnsi" w:cstheme="majorHAnsi"/>
          <w:sz w:val="19"/>
          <w:szCs w:val="19"/>
          <w:lang w:val="en-US"/>
        </w:rPr>
      </w:pPr>
    </w:p>
    <w:p w14:paraId="2B4A21E8" w14:textId="77777777" w:rsidR="00514B59" w:rsidRDefault="00514B59" w:rsidP="00AF17C5">
      <w:pPr>
        <w:pStyle w:val="ListParagraph"/>
        <w:spacing w:after="0" w:line="360" w:lineRule="auto"/>
        <w:ind w:left="450"/>
        <w:contextualSpacing w:val="0"/>
        <w:jc w:val="thaiDistribute"/>
        <w:rPr>
          <w:rFonts w:asciiTheme="majorHAnsi" w:hAnsiTheme="majorHAnsi" w:cstheme="majorHAnsi"/>
          <w:sz w:val="19"/>
          <w:szCs w:val="19"/>
          <w:lang w:val="en-US"/>
        </w:rPr>
      </w:pPr>
    </w:p>
    <w:p w14:paraId="7879B4E0" w14:textId="43ABA79E" w:rsidR="00C45305" w:rsidRDefault="00340A02" w:rsidP="00AF17C5">
      <w:pPr>
        <w:pStyle w:val="ListParagraph"/>
        <w:spacing w:after="0" w:line="360" w:lineRule="auto"/>
        <w:ind w:left="450"/>
        <w:contextualSpacing w:val="0"/>
        <w:jc w:val="thaiDistribute"/>
        <w:rPr>
          <w:rFonts w:asciiTheme="majorHAnsi" w:hAnsiTheme="majorHAnsi" w:cstheme="majorHAnsi"/>
          <w:sz w:val="19"/>
          <w:szCs w:val="19"/>
          <w:lang w:val="en-US"/>
        </w:rPr>
      </w:pPr>
      <w:r>
        <w:rPr>
          <w:rFonts w:asciiTheme="majorHAnsi" w:hAnsiTheme="majorHAnsi" w:cstheme="majorHAnsi"/>
          <w:sz w:val="19"/>
          <w:szCs w:val="19"/>
          <w:lang w:val="en-US"/>
        </w:rPr>
        <w:lastRenderedPageBreak/>
        <w:t>However, in the year 2015,</w:t>
      </w:r>
      <w:r w:rsidR="00E11FD4">
        <w:rPr>
          <w:rFonts w:asciiTheme="majorHAnsi" w:hAnsiTheme="majorHAnsi" w:cstheme="minorBidi" w:hint="cs"/>
          <w:sz w:val="19"/>
          <w:szCs w:val="24"/>
          <w:cs/>
          <w:lang w:val="en-US" w:bidi="th-TH"/>
        </w:rPr>
        <w:t xml:space="preserve"> </w:t>
      </w:r>
      <w:r w:rsidR="00E11FD4">
        <w:rPr>
          <w:rFonts w:asciiTheme="majorHAnsi" w:hAnsiTheme="majorHAnsi" w:cstheme="minorBidi"/>
          <w:sz w:val="19"/>
          <w:szCs w:val="24"/>
          <w:lang w:val="en-US" w:bidi="th-TH"/>
        </w:rPr>
        <w:t xml:space="preserve">the </w:t>
      </w:r>
      <w:r>
        <w:rPr>
          <w:rFonts w:asciiTheme="majorHAnsi" w:hAnsiTheme="majorHAnsi" w:cstheme="majorHAnsi"/>
          <w:sz w:val="19"/>
          <w:szCs w:val="19"/>
          <w:lang w:val="en-US"/>
        </w:rPr>
        <w:t>DSEZ MC has</w:t>
      </w:r>
      <w:r w:rsidR="00713810">
        <w:rPr>
          <w:rFonts w:asciiTheme="majorHAnsi" w:hAnsiTheme="majorHAnsi" w:cstheme="majorHAnsi"/>
          <w:sz w:val="19"/>
          <w:szCs w:val="19"/>
          <w:lang w:val="en-US"/>
        </w:rPr>
        <w:t xml:space="preserve"> considered the</w:t>
      </w:r>
      <w:r w:rsidR="00EA26B2">
        <w:rPr>
          <w:rFonts w:asciiTheme="majorHAnsi" w:hAnsiTheme="majorHAnsi" w:cstheme="majorHAnsi"/>
          <w:sz w:val="19"/>
          <w:szCs w:val="19"/>
          <w:lang w:val="en-US"/>
        </w:rPr>
        <w:t xml:space="preserve"> </w:t>
      </w:r>
      <w:proofErr w:type="spellStart"/>
      <w:r w:rsidR="00EA26B2">
        <w:rPr>
          <w:rFonts w:asciiTheme="majorHAnsi" w:hAnsiTheme="majorHAnsi" w:cstheme="majorHAnsi"/>
          <w:sz w:val="19"/>
          <w:szCs w:val="19"/>
          <w:lang w:val="en-US"/>
        </w:rPr>
        <w:t>Dawei</w:t>
      </w:r>
      <w:proofErr w:type="spellEnd"/>
      <w:r w:rsidR="00EA26B2">
        <w:rPr>
          <w:rFonts w:asciiTheme="majorHAnsi" w:hAnsiTheme="majorHAnsi" w:cstheme="majorHAnsi"/>
          <w:sz w:val="19"/>
          <w:szCs w:val="19"/>
          <w:lang w:val="en-US"/>
        </w:rPr>
        <w:t xml:space="preserve"> SEZ</w:t>
      </w:r>
      <w:r w:rsidR="00713810">
        <w:rPr>
          <w:rFonts w:asciiTheme="majorHAnsi" w:hAnsiTheme="majorHAnsi" w:cstheme="majorHAnsi"/>
          <w:sz w:val="19"/>
          <w:szCs w:val="19"/>
          <w:lang w:val="en-US"/>
        </w:rPr>
        <w:t xml:space="preserve"> development plan</w:t>
      </w:r>
      <w:r w:rsidR="00EA26B2">
        <w:rPr>
          <w:rFonts w:asciiTheme="majorHAnsi" w:hAnsiTheme="majorHAnsi" w:cstheme="majorHAnsi"/>
          <w:sz w:val="19"/>
          <w:szCs w:val="19"/>
          <w:lang w:val="en-US"/>
        </w:rPr>
        <w:t xml:space="preserve"> and development of the </w:t>
      </w:r>
      <w:proofErr w:type="spellStart"/>
      <w:r w:rsidR="00EA26B2">
        <w:rPr>
          <w:rFonts w:asciiTheme="majorHAnsi" w:hAnsiTheme="majorHAnsi" w:cstheme="majorHAnsi"/>
          <w:sz w:val="19"/>
          <w:szCs w:val="19"/>
          <w:lang w:val="en-US"/>
        </w:rPr>
        <w:t>Dawei</w:t>
      </w:r>
      <w:proofErr w:type="spellEnd"/>
      <w:r w:rsidR="00EA26B2">
        <w:rPr>
          <w:rFonts w:asciiTheme="majorHAnsi" w:hAnsiTheme="majorHAnsi" w:cstheme="majorHAnsi"/>
          <w:sz w:val="19"/>
          <w:szCs w:val="19"/>
          <w:lang w:val="en-US"/>
        </w:rPr>
        <w:t xml:space="preserve"> Special Economic Zone </w:t>
      </w:r>
      <w:r w:rsidR="00880CB8">
        <w:rPr>
          <w:rFonts w:asciiTheme="majorHAnsi" w:hAnsiTheme="majorHAnsi" w:cstheme="majorHAnsi"/>
          <w:sz w:val="19"/>
          <w:szCs w:val="19"/>
          <w:lang w:val="en-US"/>
        </w:rPr>
        <w:t>Initial Phase (DS</w:t>
      </w:r>
      <w:r w:rsidR="00B126FA">
        <w:rPr>
          <w:rFonts w:asciiTheme="majorHAnsi" w:hAnsiTheme="majorHAnsi" w:cstheme="majorHAnsi"/>
          <w:sz w:val="19"/>
          <w:szCs w:val="19"/>
          <w:lang w:val="en-US"/>
        </w:rPr>
        <w:t>E</w:t>
      </w:r>
      <w:r w:rsidR="00880CB8">
        <w:rPr>
          <w:rFonts w:asciiTheme="majorHAnsi" w:hAnsiTheme="majorHAnsi" w:cstheme="majorHAnsi"/>
          <w:sz w:val="19"/>
          <w:szCs w:val="19"/>
          <w:lang w:val="en-US"/>
        </w:rPr>
        <w:t xml:space="preserve">Z Initial Phase) to </w:t>
      </w:r>
      <w:r w:rsidR="00773A46">
        <w:rPr>
          <w:rFonts w:asciiTheme="majorHAnsi" w:hAnsiTheme="majorHAnsi" w:cstheme="majorHAnsi"/>
          <w:sz w:val="19"/>
          <w:szCs w:val="19"/>
          <w:lang w:val="en-US"/>
        </w:rPr>
        <w:t xml:space="preserve">develop an industrial estate of 27 </w:t>
      </w:r>
      <w:r w:rsidR="002B2D49">
        <w:rPr>
          <w:rFonts w:asciiTheme="majorHAnsi" w:hAnsiTheme="majorHAnsi" w:cstheme="majorHAnsi"/>
          <w:sz w:val="19"/>
          <w:szCs w:val="19"/>
          <w:lang w:val="en-US"/>
        </w:rPr>
        <w:t>square kilometers and related infrastructure and utilities</w:t>
      </w:r>
      <w:r w:rsidR="00402053">
        <w:rPr>
          <w:rFonts w:asciiTheme="majorHAnsi" w:hAnsiTheme="majorHAnsi" w:cstheme="majorHAnsi"/>
          <w:sz w:val="19"/>
          <w:szCs w:val="19"/>
          <w:lang w:val="en-US"/>
        </w:rPr>
        <w:t>. The subsidiaries in overseas and</w:t>
      </w:r>
      <w:r w:rsidR="00517D07">
        <w:rPr>
          <w:rFonts w:asciiTheme="majorHAnsi" w:hAnsiTheme="majorHAnsi" w:cstheme="majorHAnsi"/>
          <w:sz w:val="19"/>
          <w:szCs w:val="19"/>
          <w:lang w:val="en-US"/>
        </w:rPr>
        <w:t xml:space="preserve"> </w:t>
      </w:r>
      <w:r w:rsidR="000B5DE6">
        <w:rPr>
          <w:rFonts w:asciiTheme="majorHAnsi" w:hAnsiTheme="majorHAnsi" w:cstheme="majorHAnsi"/>
          <w:sz w:val="19"/>
          <w:szCs w:val="19"/>
          <w:lang w:val="en-US"/>
        </w:rPr>
        <w:t xml:space="preserve">investors (“the Concessionaires”) </w:t>
      </w:r>
      <w:r w:rsidR="00105D40">
        <w:rPr>
          <w:rFonts w:asciiTheme="majorHAnsi" w:hAnsiTheme="majorHAnsi" w:cstheme="majorHAnsi"/>
          <w:sz w:val="19"/>
          <w:szCs w:val="19"/>
          <w:lang w:val="en-US"/>
        </w:rPr>
        <w:t xml:space="preserve">has signed 7 concession </w:t>
      </w:r>
      <w:r w:rsidR="002C38FB">
        <w:rPr>
          <w:rFonts w:asciiTheme="majorHAnsi" w:hAnsiTheme="majorHAnsi" w:cstheme="majorHAnsi"/>
          <w:sz w:val="19"/>
          <w:szCs w:val="19"/>
          <w:lang w:val="en-US"/>
        </w:rPr>
        <w:t>agreement</w:t>
      </w:r>
      <w:r w:rsidR="00770936">
        <w:rPr>
          <w:rFonts w:asciiTheme="majorHAnsi" w:hAnsiTheme="majorHAnsi" w:cstheme="majorHAnsi"/>
          <w:sz w:val="19"/>
          <w:szCs w:val="19"/>
          <w:lang w:val="en-US"/>
        </w:rPr>
        <w:t>s</w:t>
      </w:r>
      <w:r w:rsidR="002C38FB">
        <w:rPr>
          <w:rFonts w:asciiTheme="majorHAnsi" w:hAnsiTheme="majorHAnsi" w:cstheme="majorHAnsi"/>
          <w:sz w:val="19"/>
          <w:szCs w:val="19"/>
          <w:lang w:val="en-US"/>
        </w:rPr>
        <w:t xml:space="preserve"> </w:t>
      </w:r>
      <w:r w:rsidR="00105D40">
        <w:rPr>
          <w:rFonts w:asciiTheme="majorHAnsi" w:hAnsiTheme="majorHAnsi" w:cstheme="majorHAnsi"/>
          <w:sz w:val="19"/>
          <w:szCs w:val="19"/>
          <w:lang w:val="en-US"/>
        </w:rPr>
        <w:t>for the rights to</w:t>
      </w:r>
      <w:r w:rsidR="0051677C">
        <w:rPr>
          <w:rFonts w:asciiTheme="majorHAnsi" w:hAnsiTheme="majorHAnsi" w:cstheme="majorHAnsi"/>
          <w:sz w:val="19"/>
          <w:szCs w:val="19"/>
          <w:lang w:val="en-US"/>
        </w:rPr>
        <w:t xml:space="preserve"> develop 8 concession projects with </w:t>
      </w:r>
      <w:r w:rsidR="00E11FD4">
        <w:rPr>
          <w:rFonts w:asciiTheme="majorHAnsi" w:hAnsiTheme="majorHAnsi" w:cstheme="majorHAnsi"/>
          <w:sz w:val="19"/>
          <w:szCs w:val="19"/>
          <w:lang w:val="en-US"/>
        </w:rPr>
        <w:t xml:space="preserve">the </w:t>
      </w:r>
      <w:r w:rsidR="0051677C">
        <w:rPr>
          <w:rFonts w:asciiTheme="majorHAnsi" w:hAnsiTheme="majorHAnsi" w:cstheme="majorHAnsi"/>
          <w:sz w:val="19"/>
          <w:szCs w:val="19"/>
          <w:lang w:val="en-US"/>
        </w:rPr>
        <w:t>DSEZ MC</w:t>
      </w:r>
      <w:r w:rsidR="00DD19A1">
        <w:rPr>
          <w:rFonts w:asciiTheme="majorHAnsi" w:hAnsiTheme="majorHAnsi" w:cstheme="majorHAnsi"/>
          <w:sz w:val="19"/>
          <w:szCs w:val="19"/>
          <w:lang w:val="en-US"/>
        </w:rPr>
        <w:t xml:space="preserve">. </w:t>
      </w:r>
      <w:r w:rsidR="00E11FD4">
        <w:rPr>
          <w:rFonts w:asciiTheme="majorHAnsi" w:hAnsiTheme="majorHAnsi" w:cstheme="majorHAnsi"/>
          <w:sz w:val="19"/>
          <w:szCs w:val="19"/>
          <w:lang w:val="en-US"/>
        </w:rPr>
        <w:t xml:space="preserve">The </w:t>
      </w:r>
      <w:r w:rsidR="00DD19A1">
        <w:rPr>
          <w:rFonts w:asciiTheme="majorHAnsi" w:hAnsiTheme="majorHAnsi" w:cstheme="majorHAnsi"/>
          <w:sz w:val="19"/>
          <w:szCs w:val="19"/>
          <w:lang w:val="en-US"/>
        </w:rPr>
        <w:t>DSEZ MC, SPV and the Grou</w:t>
      </w:r>
      <w:r w:rsidR="002C38FB">
        <w:rPr>
          <w:rFonts w:asciiTheme="majorHAnsi" w:hAnsiTheme="majorHAnsi" w:cstheme="majorHAnsi"/>
          <w:sz w:val="19"/>
          <w:szCs w:val="19"/>
          <w:lang w:val="en-US"/>
        </w:rPr>
        <w:t>p</w:t>
      </w:r>
      <w:r w:rsidR="001F7659">
        <w:rPr>
          <w:rFonts w:asciiTheme="majorHAnsi" w:hAnsiTheme="majorHAnsi" w:cstheme="majorHAnsi"/>
          <w:sz w:val="19"/>
          <w:szCs w:val="19"/>
          <w:lang w:val="en-US"/>
        </w:rPr>
        <w:t xml:space="preserve"> </w:t>
      </w:r>
      <w:proofErr w:type="gramStart"/>
      <w:r w:rsidR="001F7659">
        <w:rPr>
          <w:rFonts w:asciiTheme="majorHAnsi" w:hAnsiTheme="majorHAnsi" w:cstheme="majorHAnsi"/>
          <w:sz w:val="19"/>
          <w:szCs w:val="19"/>
          <w:lang w:val="en-US"/>
        </w:rPr>
        <w:t>entered into</w:t>
      </w:r>
      <w:proofErr w:type="gramEnd"/>
      <w:r w:rsidR="001F7659">
        <w:rPr>
          <w:rFonts w:asciiTheme="majorHAnsi" w:hAnsiTheme="majorHAnsi" w:cstheme="majorHAnsi"/>
          <w:sz w:val="19"/>
          <w:szCs w:val="19"/>
          <w:lang w:val="en-US"/>
        </w:rPr>
        <w:t xml:space="preserve"> the Supplemental Memorandum of Understanding to the Tripartite Memorandum </w:t>
      </w:r>
      <w:r w:rsidR="00BC469F">
        <w:rPr>
          <w:rFonts w:asciiTheme="majorHAnsi" w:hAnsiTheme="majorHAnsi" w:cstheme="majorHAnsi"/>
          <w:sz w:val="19"/>
          <w:szCs w:val="19"/>
          <w:lang w:val="en-US"/>
        </w:rPr>
        <w:t>to define</w:t>
      </w:r>
      <w:r w:rsidR="002B5B80">
        <w:rPr>
          <w:rFonts w:asciiTheme="majorHAnsi" w:hAnsiTheme="majorHAnsi" w:cstheme="majorHAnsi"/>
          <w:sz w:val="19"/>
          <w:szCs w:val="19"/>
          <w:lang w:val="en-US"/>
        </w:rPr>
        <w:t xml:space="preserve"> the </w:t>
      </w:r>
      <w:r w:rsidR="006E5586">
        <w:rPr>
          <w:rFonts w:asciiTheme="majorHAnsi" w:hAnsiTheme="majorHAnsi" w:cs="Browallia New"/>
          <w:sz w:val="19"/>
          <w:szCs w:val="24"/>
          <w:lang w:val="en-US" w:bidi="th-TH"/>
        </w:rPr>
        <w:t>framework</w:t>
      </w:r>
      <w:r w:rsidR="002B5B80">
        <w:rPr>
          <w:rFonts w:asciiTheme="majorHAnsi" w:hAnsiTheme="majorHAnsi" w:cstheme="majorHAnsi"/>
          <w:sz w:val="19"/>
          <w:szCs w:val="19"/>
          <w:lang w:val="en-US"/>
        </w:rPr>
        <w:t xml:space="preserve"> conditions to the</w:t>
      </w:r>
      <w:r w:rsidR="006E13E3">
        <w:rPr>
          <w:rFonts w:asciiTheme="majorHAnsi" w:hAnsiTheme="majorHAnsi" w:cstheme="majorHAnsi"/>
          <w:sz w:val="19"/>
          <w:szCs w:val="19"/>
          <w:lang w:val="en-US"/>
        </w:rPr>
        <w:t xml:space="preserve"> </w:t>
      </w:r>
      <w:r w:rsidR="002B5B80">
        <w:rPr>
          <w:rFonts w:asciiTheme="majorHAnsi" w:hAnsiTheme="majorHAnsi" w:cstheme="majorHAnsi"/>
          <w:sz w:val="19"/>
          <w:szCs w:val="19"/>
          <w:lang w:val="en-US"/>
        </w:rPr>
        <w:t xml:space="preserve">Company </w:t>
      </w:r>
      <w:r w:rsidR="0022569B">
        <w:rPr>
          <w:rFonts w:asciiTheme="majorHAnsi" w:hAnsiTheme="majorHAnsi" w:cstheme="majorHAnsi"/>
          <w:sz w:val="19"/>
          <w:szCs w:val="19"/>
          <w:lang w:val="en-US"/>
        </w:rPr>
        <w:t xml:space="preserve">for the </w:t>
      </w:r>
      <w:r w:rsidR="002C546B">
        <w:rPr>
          <w:rFonts w:asciiTheme="majorHAnsi" w:hAnsiTheme="majorHAnsi" w:cstheme="majorHAnsi"/>
          <w:sz w:val="19"/>
          <w:szCs w:val="19"/>
          <w:lang w:val="en-US"/>
        </w:rPr>
        <w:t xml:space="preserve">Land Right Option </w:t>
      </w:r>
      <w:r w:rsidR="00AB1CE1">
        <w:rPr>
          <w:rFonts w:asciiTheme="majorHAnsi" w:hAnsiTheme="majorHAnsi" w:cstheme="majorHAnsi"/>
          <w:sz w:val="19"/>
          <w:szCs w:val="19"/>
          <w:lang w:val="en-US"/>
        </w:rPr>
        <w:t xml:space="preserve">for </w:t>
      </w:r>
      <w:r w:rsidR="00061F2C">
        <w:rPr>
          <w:rFonts w:asciiTheme="majorHAnsi" w:hAnsiTheme="majorHAnsi" w:cstheme="majorHAnsi"/>
          <w:sz w:val="19"/>
          <w:szCs w:val="19"/>
          <w:lang w:val="en-US"/>
        </w:rPr>
        <w:t>development and management of</w:t>
      </w:r>
      <w:r w:rsidR="00DA720D" w:rsidRPr="00DA39EA">
        <w:rPr>
          <w:rFonts w:asciiTheme="majorHAnsi" w:hAnsiTheme="majorHAnsi" w:cstheme="majorHAnsi"/>
          <w:sz w:val="19"/>
          <w:szCs w:val="19"/>
          <w:lang w:val="en-US"/>
        </w:rPr>
        <w:t xml:space="preserve"> the </w:t>
      </w:r>
      <w:r w:rsidR="00B126FA">
        <w:rPr>
          <w:rFonts w:asciiTheme="majorHAnsi" w:hAnsiTheme="majorHAnsi" w:cstheme="majorHAnsi"/>
          <w:sz w:val="19"/>
          <w:szCs w:val="19"/>
          <w:lang w:val="en-US"/>
        </w:rPr>
        <w:t>DSEZ Initial Phase</w:t>
      </w:r>
      <w:r w:rsidR="00DA720D" w:rsidRPr="00DA39EA">
        <w:rPr>
          <w:rFonts w:asciiTheme="majorHAnsi" w:hAnsiTheme="majorHAnsi" w:cstheme="majorHAnsi"/>
          <w:sz w:val="19"/>
          <w:szCs w:val="19"/>
          <w:lang w:val="en-US"/>
        </w:rPr>
        <w:t xml:space="preserve"> to </w:t>
      </w:r>
      <w:r w:rsidR="00F7017F">
        <w:rPr>
          <w:rFonts w:asciiTheme="majorHAnsi" w:hAnsiTheme="majorHAnsi" w:cstheme="majorHAnsi"/>
          <w:sz w:val="19"/>
          <w:szCs w:val="19"/>
          <w:lang w:val="en-US"/>
        </w:rPr>
        <w:t xml:space="preserve">compensate the reimbursement of </w:t>
      </w:r>
      <w:r w:rsidR="006C4979">
        <w:rPr>
          <w:rFonts w:asciiTheme="majorHAnsi" w:hAnsiTheme="majorHAnsi" w:cstheme="majorHAnsi"/>
          <w:sz w:val="19"/>
          <w:szCs w:val="19"/>
          <w:lang w:val="en-US"/>
        </w:rPr>
        <w:t>the Group</w:t>
      </w:r>
      <w:r w:rsidR="001B1949">
        <w:rPr>
          <w:rFonts w:asciiTheme="majorHAnsi" w:hAnsiTheme="majorHAnsi" w:cstheme="majorHAnsi"/>
          <w:sz w:val="19"/>
          <w:szCs w:val="19"/>
          <w:lang w:val="en-US"/>
        </w:rPr>
        <w:t>’s</w:t>
      </w:r>
      <w:r w:rsidR="006C4979">
        <w:rPr>
          <w:rFonts w:asciiTheme="majorHAnsi" w:hAnsiTheme="majorHAnsi" w:cstheme="majorHAnsi"/>
          <w:sz w:val="19"/>
          <w:szCs w:val="19"/>
          <w:lang w:val="en-US"/>
        </w:rPr>
        <w:t xml:space="preserve"> previously invested</w:t>
      </w:r>
      <w:r w:rsidR="000C3B97">
        <w:rPr>
          <w:rFonts w:asciiTheme="majorHAnsi" w:hAnsiTheme="majorHAnsi" w:cstheme="majorHAnsi"/>
          <w:sz w:val="19"/>
          <w:szCs w:val="19"/>
          <w:lang w:val="en-US"/>
        </w:rPr>
        <w:t>.</w:t>
      </w:r>
      <w:r w:rsidR="00CD5373">
        <w:rPr>
          <w:rFonts w:asciiTheme="majorHAnsi" w:hAnsiTheme="majorHAnsi" w:cstheme="majorHAnsi"/>
          <w:sz w:val="19"/>
          <w:szCs w:val="19"/>
          <w:lang w:val="en-US"/>
        </w:rPr>
        <w:t xml:space="preserve"> The Company will</w:t>
      </w:r>
      <w:r w:rsidR="00877E6A">
        <w:rPr>
          <w:rFonts w:asciiTheme="majorHAnsi" w:hAnsiTheme="majorHAnsi" w:cstheme="majorHAnsi"/>
          <w:sz w:val="19"/>
          <w:szCs w:val="19"/>
          <w:lang w:val="en-US"/>
        </w:rPr>
        <w:t xml:space="preserve"> be able to </w:t>
      </w:r>
      <w:r w:rsidR="00CD5373">
        <w:rPr>
          <w:rFonts w:asciiTheme="majorHAnsi" w:hAnsiTheme="majorHAnsi" w:cstheme="majorHAnsi"/>
          <w:sz w:val="19"/>
          <w:szCs w:val="19"/>
          <w:lang w:val="en-US"/>
        </w:rPr>
        <w:t xml:space="preserve">exercise </w:t>
      </w:r>
      <w:r w:rsidR="003D17D8">
        <w:rPr>
          <w:rFonts w:asciiTheme="majorHAnsi" w:hAnsiTheme="majorHAnsi" w:cstheme="majorHAnsi"/>
          <w:sz w:val="19"/>
          <w:szCs w:val="19"/>
          <w:lang w:val="en-US"/>
        </w:rPr>
        <w:t>such option when the Concessiona</w:t>
      </w:r>
      <w:r w:rsidR="00530BD9">
        <w:rPr>
          <w:rFonts w:asciiTheme="majorHAnsi" w:hAnsiTheme="majorHAnsi" w:cstheme="majorHAnsi"/>
          <w:sz w:val="19"/>
          <w:szCs w:val="19"/>
          <w:lang w:val="en-US"/>
        </w:rPr>
        <w:t>i</w:t>
      </w:r>
      <w:r w:rsidR="003D17D8">
        <w:rPr>
          <w:rFonts w:asciiTheme="majorHAnsi" w:hAnsiTheme="majorHAnsi" w:cstheme="majorHAnsi"/>
          <w:sz w:val="19"/>
          <w:szCs w:val="19"/>
          <w:lang w:val="en-US"/>
        </w:rPr>
        <w:t>res</w:t>
      </w:r>
      <w:r w:rsidR="00425514">
        <w:rPr>
          <w:rFonts w:asciiTheme="majorHAnsi" w:hAnsiTheme="majorHAnsi" w:cstheme="majorHAnsi"/>
          <w:sz w:val="19"/>
          <w:szCs w:val="19"/>
          <w:lang w:val="en-US"/>
        </w:rPr>
        <w:t xml:space="preserve"> and </w:t>
      </w:r>
      <w:r w:rsidR="001B1949">
        <w:rPr>
          <w:rFonts w:asciiTheme="majorHAnsi" w:hAnsiTheme="majorHAnsi" w:cstheme="majorHAnsi"/>
          <w:sz w:val="19"/>
          <w:szCs w:val="19"/>
          <w:lang w:val="en-US"/>
        </w:rPr>
        <w:t xml:space="preserve">the </w:t>
      </w:r>
      <w:r w:rsidR="00425514">
        <w:rPr>
          <w:rFonts w:asciiTheme="majorHAnsi" w:hAnsiTheme="majorHAnsi" w:cstheme="majorHAnsi"/>
          <w:sz w:val="19"/>
          <w:szCs w:val="19"/>
          <w:lang w:val="en-US"/>
        </w:rPr>
        <w:t>DSEZ MC</w:t>
      </w:r>
      <w:r w:rsidR="00C6769F">
        <w:rPr>
          <w:rFonts w:asciiTheme="majorHAnsi" w:hAnsiTheme="majorHAnsi" w:cstheme="majorHAnsi"/>
          <w:sz w:val="19"/>
          <w:szCs w:val="19"/>
          <w:lang w:val="en-US"/>
        </w:rPr>
        <w:t xml:space="preserve"> </w:t>
      </w:r>
      <w:r w:rsidR="00451948">
        <w:rPr>
          <w:rFonts w:asciiTheme="majorHAnsi" w:hAnsiTheme="majorHAnsi" w:cstheme="majorHAnsi"/>
          <w:sz w:val="19"/>
          <w:szCs w:val="19"/>
          <w:lang w:val="en-US"/>
        </w:rPr>
        <w:t>fulfil</w:t>
      </w:r>
      <w:r w:rsidR="00C6769F">
        <w:rPr>
          <w:rFonts w:asciiTheme="majorHAnsi" w:hAnsiTheme="majorHAnsi" w:cstheme="majorHAnsi"/>
          <w:sz w:val="19"/>
          <w:szCs w:val="19"/>
          <w:lang w:val="en-US"/>
        </w:rPr>
        <w:t>l</w:t>
      </w:r>
      <w:r w:rsidR="00451948">
        <w:rPr>
          <w:rFonts w:asciiTheme="majorHAnsi" w:hAnsiTheme="majorHAnsi" w:cstheme="majorHAnsi"/>
          <w:sz w:val="19"/>
          <w:szCs w:val="19"/>
          <w:lang w:val="en-US"/>
        </w:rPr>
        <w:t xml:space="preserve"> </w:t>
      </w:r>
      <w:r w:rsidR="008303F4">
        <w:rPr>
          <w:rFonts w:asciiTheme="majorHAnsi" w:hAnsiTheme="majorHAnsi" w:cstheme="majorHAnsi"/>
          <w:sz w:val="19"/>
          <w:szCs w:val="19"/>
          <w:lang w:val="en-US"/>
        </w:rPr>
        <w:t xml:space="preserve">all </w:t>
      </w:r>
      <w:r w:rsidR="00451948">
        <w:rPr>
          <w:rFonts w:asciiTheme="majorHAnsi" w:hAnsiTheme="majorHAnsi" w:cstheme="majorHAnsi"/>
          <w:sz w:val="19"/>
          <w:szCs w:val="19"/>
          <w:lang w:val="en-US"/>
        </w:rPr>
        <w:t>the</w:t>
      </w:r>
      <w:r w:rsidR="00425514">
        <w:rPr>
          <w:rFonts w:asciiTheme="majorHAnsi" w:hAnsiTheme="majorHAnsi" w:cstheme="majorHAnsi"/>
          <w:sz w:val="19"/>
          <w:szCs w:val="19"/>
          <w:lang w:val="en-US"/>
        </w:rPr>
        <w:t xml:space="preserve"> </w:t>
      </w:r>
      <w:r w:rsidR="00C45305" w:rsidRPr="00AF17C5">
        <w:rPr>
          <w:rFonts w:asciiTheme="majorHAnsi" w:hAnsiTheme="majorHAnsi" w:cstheme="majorHAnsi"/>
          <w:sz w:val="19"/>
          <w:szCs w:val="19"/>
          <w:lang w:val="en-US"/>
        </w:rPr>
        <w:t>Condition</w:t>
      </w:r>
      <w:r w:rsidR="00752295">
        <w:rPr>
          <w:rFonts w:asciiTheme="majorHAnsi" w:hAnsiTheme="majorHAnsi" w:cstheme="majorHAnsi"/>
          <w:sz w:val="19"/>
          <w:szCs w:val="19"/>
          <w:lang w:val="en-US"/>
        </w:rPr>
        <w:t>s</w:t>
      </w:r>
      <w:r w:rsidR="00C45305" w:rsidRPr="00AF17C5">
        <w:rPr>
          <w:rFonts w:asciiTheme="majorHAnsi" w:hAnsiTheme="majorHAnsi" w:cstheme="majorHAnsi"/>
          <w:sz w:val="19"/>
          <w:szCs w:val="19"/>
          <w:lang w:val="en-US"/>
        </w:rPr>
        <w:t xml:space="preserve"> Precedent</w:t>
      </w:r>
      <w:r w:rsidR="008303F4">
        <w:rPr>
          <w:rFonts w:asciiTheme="majorHAnsi" w:hAnsiTheme="majorHAnsi" w:cstheme="majorHAnsi"/>
          <w:sz w:val="19"/>
          <w:szCs w:val="19"/>
          <w:lang w:val="en-US"/>
        </w:rPr>
        <w:t xml:space="preserve"> (CP)</w:t>
      </w:r>
      <w:r w:rsidR="00C45305" w:rsidRPr="00AF17C5">
        <w:rPr>
          <w:rFonts w:asciiTheme="majorHAnsi" w:hAnsiTheme="majorHAnsi" w:cstheme="majorHAnsi"/>
          <w:sz w:val="19"/>
          <w:szCs w:val="19"/>
          <w:lang w:val="en-US"/>
        </w:rPr>
        <w:t xml:space="preserve"> </w:t>
      </w:r>
      <w:r w:rsidR="008303F4">
        <w:rPr>
          <w:rFonts w:asciiTheme="majorHAnsi" w:hAnsiTheme="majorHAnsi" w:cstheme="majorHAnsi"/>
          <w:sz w:val="19"/>
          <w:szCs w:val="19"/>
          <w:lang w:val="en-US"/>
        </w:rPr>
        <w:t xml:space="preserve">as </w:t>
      </w:r>
      <w:r w:rsidR="00C0413D">
        <w:rPr>
          <w:rFonts w:asciiTheme="majorHAnsi" w:hAnsiTheme="majorHAnsi" w:cstheme="majorHAnsi"/>
          <w:sz w:val="19"/>
          <w:szCs w:val="19"/>
          <w:lang w:val="en-US"/>
        </w:rPr>
        <w:t>determine</w:t>
      </w:r>
      <w:r w:rsidR="00C37B3F">
        <w:rPr>
          <w:rFonts w:asciiTheme="majorHAnsi" w:hAnsiTheme="majorHAnsi" w:cstheme="majorHAnsi"/>
          <w:sz w:val="19"/>
          <w:szCs w:val="19"/>
          <w:lang w:val="en-US"/>
        </w:rPr>
        <w:t>d</w:t>
      </w:r>
      <w:r w:rsidR="00C0413D">
        <w:rPr>
          <w:rFonts w:asciiTheme="majorHAnsi" w:hAnsiTheme="majorHAnsi" w:cstheme="majorHAnsi"/>
          <w:sz w:val="19"/>
          <w:szCs w:val="19"/>
          <w:lang w:val="en-US"/>
        </w:rPr>
        <w:t xml:space="preserve"> in </w:t>
      </w:r>
      <w:r w:rsidR="00C45305" w:rsidRPr="00AF17C5">
        <w:rPr>
          <w:rFonts w:asciiTheme="majorHAnsi" w:hAnsiTheme="majorHAnsi" w:cstheme="majorHAnsi"/>
          <w:sz w:val="19"/>
          <w:szCs w:val="19"/>
          <w:lang w:val="en-US"/>
        </w:rPr>
        <w:t xml:space="preserve">the </w:t>
      </w:r>
      <w:r w:rsidR="00C0413D">
        <w:rPr>
          <w:rFonts w:asciiTheme="majorHAnsi" w:hAnsiTheme="majorHAnsi" w:cstheme="majorHAnsi"/>
          <w:sz w:val="19"/>
          <w:szCs w:val="19"/>
          <w:lang w:val="en-US"/>
        </w:rPr>
        <w:t>Concession Agreements</w:t>
      </w:r>
      <w:r w:rsidR="00C1068B">
        <w:rPr>
          <w:rFonts w:asciiTheme="majorHAnsi" w:hAnsiTheme="majorHAnsi" w:cstheme="majorHAnsi"/>
          <w:sz w:val="19"/>
          <w:szCs w:val="19"/>
          <w:lang w:val="en-US"/>
        </w:rPr>
        <w:t xml:space="preserve"> for the Initial Phase</w:t>
      </w:r>
      <w:r w:rsidR="00C0413D">
        <w:rPr>
          <w:rFonts w:asciiTheme="majorHAnsi" w:hAnsiTheme="majorHAnsi" w:cstheme="majorHAnsi"/>
          <w:sz w:val="19"/>
          <w:szCs w:val="19"/>
          <w:lang w:val="en-US"/>
        </w:rPr>
        <w:t>.</w:t>
      </w:r>
      <w:r w:rsidR="00C45305" w:rsidRPr="00AF17C5">
        <w:rPr>
          <w:rFonts w:asciiTheme="majorHAnsi" w:hAnsiTheme="majorHAnsi" w:cstheme="majorHAnsi"/>
          <w:sz w:val="19"/>
          <w:szCs w:val="19"/>
          <w:lang w:val="en-US"/>
        </w:rPr>
        <w:t xml:space="preserve"> </w:t>
      </w:r>
      <w:r w:rsidR="00C0413D">
        <w:rPr>
          <w:rFonts w:asciiTheme="majorHAnsi" w:hAnsiTheme="majorHAnsi" w:cstheme="majorHAnsi"/>
          <w:sz w:val="19"/>
          <w:szCs w:val="19"/>
          <w:lang w:val="en-US"/>
        </w:rPr>
        <w:t xml:space="preserve">The Concessionaires </w:t>
      </w:r>
      <w:r w:rsidR="00102E97">
        <w:rPr>
          <w:rFonts w:asciiTheme="majorHAnsi" w:hAnsiTheme="majorHAnsi" w:cstheme="majorHAnsi"/>
          <w:sz w:val="19"/>
          <w:szCs w:val="19"/>
          <w:lang w:val="en-US"/>
        </w:rPr>
        <w:t>had</w:t>
      </w:r>
      <w:r w:rsidR="00877B19">
        <w:rPr>
          <w:rFonts w:asciiTheme="majorHAnsi" w:hAnsiTheme="majorHAnsi" w:cstheme="majorHAnsi"/>
          <w:sz w:val="19"/>
          <w:szCs w:val="19"/>
          <w:lang w:val="en-US"/>
        </w:rPr>
        <w:t xml:space="preserve"> </w:t>
      </w:r>
      <w:r w:rsidR="00DF49EB">
        <w:rPr>
          <w:rFonts w:asciiTheme="majorHAnsi" w:hAnsiTheme="majorHAnsi" w:cstheme="majorHAnsi"/>
          <w:sz w:val="19"/>
          <w:szCs w:val="19"/>
          <w:lang w:val="en-US"/>
        </w:rPr>
        <w:t>complied</w:t>
      </w:r>
      <w:r w:rsidR="00877B19">
        <w:rPr>
          <w:rFonts w:asciiTheme="majorHAnsi" w:hAnsiTheme="majorHAnsi" w:cstheme="majorHAnsi"/>
          <w:sz w:val="19"/>
          <w:szCs w:val="19"/>
          <w:lang w:val="en-US"/>
        </w:rPr>
        <w:t xml:space="preserve"> with </w:t>
      </w:r>
      <w:r w:rsidR="008335CB">
        <w:rPr>
          <w:rFonts w:asciiTheme="majorHAnsi" w:hAnsiTheme="majorHAnsi" w:cstheme="majorHAnsi"/>
          <w:sz w:val="19"/>
          <w:szCs w:val="19"/>
          <w:lang w:val="en-US"/>
        </w:rPr>
        <w:t>such condition except for the</w:t>
      </w:r>
      <w:r w:rsidR="00F82429">
        <w:rPr>
          <w:rFonts w:asciiTheme="majorHAnsi" w:hAnsiTheme="majorHAnsi" w:cstheme="majorHAnsi"/>
          <w:sz w:val="19"/>
          <w:szCs w:val="19"/>
          <w:lang w:val="en-US"/>
        </w:rPr>
        <w:t xml:space="preserve"> sig</w:t>
      </w:r>
      <w:r w:rsidR="00562AB6">
        <w:rPr>
          <w:rFonts w:asciiTheme="majorHAnsi" w:hAnsiTheme="majorHAnsi" w:cs="Browallia New"/>
          <w:sz w:val="19"/>
          <w:szCs w:val="24"/>
          <w:lang w:val="en-US" w:bidi="th-TH"/>
        </w:rPr>
        <w:t>n</w:t>
      </w:r>
      <w:r w:rsidR="00F82429">
        <w:rPr>
          <w:rFonts w:asciiTheme="majorHAnsi" w:hAnsiTheme="majorHAnsi" w:cstheme="majorHAnsi"/>
          <w:sz w:val="19"/>
          <w:szCs w:val="19"/>
          <w:lang w:val="en-US"/>
        </w:rPr>
        <w:t>ing of Land Lease Agreement and the payment of annual concession fee</w:t>
      </w:r>
      <w:r w:rsidR="0003072B">
        <w:rPr>
          <w:rFonts w:asciiTheme="majorHAnsi" w:hAnsiTheme="majorHAnsi" w:cstheme="majorHAnsi"/>
          <w:sz w:val="19"/>
          <w:szCs w:val="19"/>
          <w:lang w:val="en-US"/>
        </w:rPr>
        <w:t xml:space="preserve"> since th</w:t>
      </w:r>
      <w:r w:rsidR="004808C7">
        <w:rPr>
          <w:rFonts w:asciiTheme="majorHAnsi" w:hAnsiTheme="majorHAnsi" w:cstheme="majorHAnsi"/>
          <w:sz w:val="19"/>
          <w:szCs w:val="19"/>
          <w:lang w:val="en-US"/>
        </w:rPr>
        <w:t>e</w:t>
      </w:r>
      <w:r w:rsidR="005C16B9">
        <w:rPr>
          <w:rFonts w:asciiTheme="majorHAnsi" w:hAnsiTheme="majorHAnsi" w:cstheme="majorHAnsi"/>
          <w:sz w:val="19"/>
          <w:szCs w:val="19"/>
          <w:lang w:val="en-US"/>
        </w:rPr>
        <w:t xml:space="preserve"> Concessionaires and </w:t>
      </w:r>
      <w:r w:rsidR="00BB02F3">
        <w:rPr>
          <w:rFonts w:asciiTheme="majorHAnsi" w:hAnsiTheme="majorHAnsi" w:cstheme="majorHAnsi"/>
          <w:sz w:val="19"/>
          <w:szCs w:val="19"/>
          <w:lang w:val="en-US"/>
        </w:rPr>
        <w:t xml:space="preserve">the </w:t>
      </w:r>
      <w:r w:rsidR="005C16B9">
        <w:rPr>
          <w:rFonts w:asciiTheme="majorHAnsi" w:hAnsiTheme="majorHAnsi" w:cstheme="majorHAnsi"/>
          <w:sz w:val="19"/>
          <w:szCs w:val="19"/>
          <w:lang w:val="en-US"/>
        </w:rPr>
        <w:t>DSEZ MC</w:t>
      </w:r>
      <w:r w:rsidR="004808C7">
        <w:rPr>
          <w:rFonts w:asciiTheme="majorHAnsi" w:hAnsiTheme="majorHAnsi" w:cstheme="majorHAnsi"/>
          <w:sz w:val="19"/>
          <w:szCs w:val="19"/>
          <w:lang w:val="en-US"/>
        </w:rPr>
        <w:t xml:space="preserve"> </w:t>
      </w:r>
      <w:r w:rsidR="006D55F3">
        <w:rPr>
          <w:rFonts w:asciiTheme="majorHAnsi" w:hAnsiTheme="majorHAnsi" w:cstheme="majorHAnsi"/>
          <w:sz w:val="19"/>
          <w:szCs w:val="19"/>
          <w:lang w:val="en-US"/>
        </w:rPr>
        <w:t>have</w:t>
      </w:r>
      <w:r w:rsidR="00A73576">
        <w:rPr>
          <w:rFonts w:asciiTheme="majorHAnsi" w:hAnsiTheme="majorHAnsi" w:cstheme="majorHAnsi"/>
          <w:sz w:val="19"/>
          <w:szCs w:val="19"/>
          <w:lang w:val="en-US"/>
        </w:rPr>
        <w:t xml:space="preserve"> not yet</w:t>
      </w:r>
      <w:r w:rsidR="00F45026">
        <w:rPr>
          <w:rFonts w:asciiTheme="majorHAnsi" w:hAnsiTheme="majorHAnsi" w:cstheme="majorHAnsi"/>
          <w:sz w:val="19"/>
          <w:szCs w:val="19"/>
          <w:lang w:val="en-US"/>
        </w:rPr>
        <w:t xml:space="preserve"> agree</w:t>
      </w:r>
      <w:r w:rsidR="004E7DA8">
        <w:rPr>
          <w:rFonts w:asciiTheme="majorHAnsi" w:hAnsiTheme="majorHAnsi" w:cstheme="majorHAnsi"/>
          <w:sz w:val="19"/>
          <w:szCs w:val="19"/>
          <w:lang w:val="en-US"/>
        </w:rPr>
        <w:t>d to</w:t>
      </w:r>
      <w:r w:rsidR="00A73576">
        <w:rPr>
          <w:rFonts w:asciiTheme="majorHAnsi" w:hAnsiTheme="majorHAnsi" w:cstheme="majorHAnsi"/>
          <w:sz w:val="19"/>
          <w:szCs w:val="19"/>
          <w:lang w:val="en-US"/>
        </w:rPr>
        <w:t xml:space="preserve"> </w:t>
      </w:r>
      <w:r w:rsidR="008F6545">
        <w:rPr>
          <w:rFonts w:asciiTheme="majorHAnsi" w:hAnsiTheme="majorHAnsi" w:cstheme="majorHAnsi"/>
          <w:sz w:val="19"/>
          <w:szCs w:val="19"/>
          <w:lang w:val="en-US"/>
        </w:rPr>
        <w:t>the content</w:t>
      </w:r>
      <w:r w:rsidR="0043098F">
        <w:rPr>
          <w:rFonts w:asciiTheme="majorHAnsi" w:hAnsiTheme="majorHAnsi" w:cstheme="majorHAnsi"/>
          <w:sz w:val="19"/>
          <w:szCs w:val="19"/>
          <w:lang w:val="en-US"/>
        </w:rPr>
        <w:t xml:space="preserve"> </w:t>
      </w:r>
      <w:r w:rsidR="00347277">
        <w:rPr>
          <w:rFonts w:asciiTheme="majorHAnsi" w:hAnsiTheme="majorHAnsi" w:cstheme="majorHAnsi"/>
          <w:sz w:val="19"/>
          <w:szCs w:val="19"/>
          <w:lang w:val="en-US"/>
        </w:rPr>
        <w:t>and condition</w:t>
      </w:r>
      <w:r w:rsidR="0043098F">
        <w:rPr>
          <w:rFonts w:asciiTheme="majorHAnsi" w:hAnsiTheme="majorHAnsi" w:cstheme="majorHAnsi"/>
          <w:sz w:val="19"/>
          <w:szCs w:val="19"/>
          <w:lang w:val="en-US"/>
        </w:rPr>
        <w:t xml:space="preserve"> of the Land Lease Agreement.</w:t>
      </w:r>
      <w:r w:rsidR="00347277">
        <w:rPr>
          <w:rFonts w:asciiTheme="majorHAnsi" w:hAnsiTheme="majorHAnsi" w:cstheme="majorHAnsi"/>
          <w:sz w:val="19"/>
          <w:szCs w:val="19"/>
          <w:lang w:val="en-US"/>
        </w:rPr>
        <w:t xml:space="preserve"> The</w:t>
      </w:r>
      <w:r w:rsidR="0043098F">
        <w:rPr>
          <w:rFonts w:asciiTheme="majorHAnsi" w:hAnsiTheme="majorHAnsi" w:cstheme="majorHAnsi"/>
          <w:sz w:val="19"/>
          <w:szCs w:val="19"/>
          <w:lang w:val="en-US"/>
        </w:rPr>
        <w:t xml:space="preserve"> </w:t>
      </w:r>
      <w:r w:rsidR="00C45305" w:rsidRPr="00DA720D">
        <w:rPr>
          <w:rFonts w:asciiTheme="majorHAnsi" w:hAnsiTheme="majorHAnsi" w:cstheme="majorHAnsi"/>
          <w:sz w:val="19"/>
          <w:szCs w:val="19"/>
          <w:lang w:val="en-US"/>
        </w:rPr>
        <w:t>Concession</w:t>
      </w:r>
      <w:r w:rsidR="00677C93">
        <w:rPr>
          <w:rFonts w:asciiTheme="majorHAnsi" w:hAnsiTheme="majorHAnsi" w:cstheme="majorHAnsi"/>
          <w:sz w:val="19"/>
          <w:szCs w:val="19"/>
          <w:lang w:val="en-US"/>
        </w:rPr>
        <w:t xml:space="preserve">aires </w:t>
      </w:r>
      <w:r w:rsidR="002D1832">
        <w:rPr>
          <w:rFonts w:asciiTheme="majorHAnsi" w:hAnsiTheme="majorHAnsi" w:cstheme="majorHAnsi"/>
          <w:sz w:val="19"/>
          <w:szCs w:val="19"/>
          <w:lang w:val="en-US"/>
        </w:rPr>
        <w:t xml:space="preserve">therefore explained to the DSEZ MC </w:t>
      </w:r>
      <w:r w:rsidR="00906D64">
        <w:rPr>
          <w:rFonts w:asciiTheme="majorHAnsi" w:hAnsiTheme="majorHAnsi" w:cstheme="majorHAnsi"/>
          <w:sz w:val="19"/>
          <w:szCs w:val="19"/>
          <w:lang w:val="en-US"/>
        </w:rPr>
        <w:t>to request for the payment for the annual concession fee of each concession</w:t>
      </w:r>
      <w:r w:rsidR="00611C05">
        <w:rPr>
          <w:rFonts w:asciiTheme="majorHAnsi" w:hAnsiTheme="majorHAnsi" w:cstheme="majorHAnsi"/>
          <w:sz w:val="19"/>
          <w:szCs w:val="19"/>
          <w:lang w:val="en-US"/>
        </w:rPr>
        <w:t xml:space="preserve"> including interest </w:t>
      </w:r>
      <w:r w:rsidR="00E74114">
        <w:rPr>
          <w:rFonts w:asciiTheme="majorHAnsi" w:hAnsiTheme="majorHAnsi" w:cstheme="majorHAnsi"/>
          <w:sz w:val="19"/>
          <w:szCs w:val="19"/>
          <w:lang w:val="en-US"/>
        </w:rPr>
        <w:t>to</w:t>
      </w:r>
      <w:r w:rsidR="00BB2B01">
        <w:rPr>
          <w:rFonts w:asciiTheme="majorHAnsi" w:hAnsiTheme="majorHAnsi" w:cstheme="majorHAnsi"/>
          <w:sz w:val="19"/>
          <w:szCs w:val="19"/>
          <w:lang w:val="en-US"/>
        </w:rPr>
        <w:t xml:space="preserve"> the DSEZ MC </w:t>
      </w:r>
      <w:r w:rsidR="00E74114">
        <w:rPr>
          <w:rFonts w:asciiTheme="majorHAnsi" w:hAnsiTheme="majorHAnsi" w:cstheme="majorHAnsi"/>
          <w:sz w:val="19"/>
          <w:szCs w:val="19"/>
          <w:lang w:val="en-US"/>
        </w:rPr>
        <w:t>when</w:t>
      </w:r>
      <w:r w:rsidR="00BB2B01">
        <w:rPr>
          <w:rFonts w:asciiTheme="majorHAnsi" w:hAnsiTheme="majorHAnsi" w:cstheme="majorHAnsi"/>
          <w:sz w:val="19"/>
          <w:szCs w:val="19"/>
          <w:lang w:val="en-US"/>
        </w:rPr>
        <w:t xml:space="preserve"> the Concessionaires</w:t>
      </w:r>
      <w:r w:rsidR="00E74114">
        <w:rPr>
          <w:rFonts w:asciiTheme="majorHAnsi" w:hAnsiTheme="majorHAnsi" w:cstheme="majorHAnsi"/>
          <w:sz w:val="19"/>
          <w:szCs w:val="19"/>
          <w:lang w:val="en-US"/>
        </w:rPr>
        <w:t xml:space="preserve"> obtained the Land Lease Agreement of each concession which </w:t>
      </w:r>
      <w:r w:rsidR="00DF3504">
        <w:rPr>
          <w:rFonts w:asciiTheme="majorHAnsi" w:hAnsiTheme="majorHAnsi" w:cstheme="majorHAnsi"/>
          <w:sz w:val="19"/>
          <w:szCs w:val="19"/>
          <w:lang w:val="en-US"/>
        </w:rPr>
        <w:t xml:space="preserve">have been </w:t>
      </w:r>
      <w:r w:rsidR="00C45305" w:rsidRPr="00DA720D">
        <w:rPr>
          <w:rFonts w:asciiTheme="majorHAnsi" w:hAnsiTheme="majorHAnsi" w:cstheme="majorHAnsi"/>
          <w:sz w:val="19"/>
          <w:szCs w:val="19"/>
          <w:lang w:val="en-US"/>
        </w:rPr>
        <w:t xml:space="preserve">agreed by </w:t>
      </w:r>
      <w:r w:rsidR="00DF3504">
        <w:rPr>
          <w:rFonts w:asciiTheme="majorHAnsi" w:hAnsiTheme="majorHAnsi" w:cstheme="majorHAnsi"/>
          <w:sz w:val="19"/>
          <w:szCs w:val="19"/>
          <w:lang w:val="en-US"/>
        </w:rPr>
        <w:t>both</w:t>
      </w:r>
      <w:r w:rsidR="00C45305" w:rsidRPr="00DA720D">
        <w:rPr>
          <w:rFonts w:asciiTheme="majorHAnsi" w:hAnsiTheme="majorHAnsi" w:cstheme="majorHAnsi"/>
          <w:sz w:val="19"/>
          <w:szCs w:val="19"/>
          <w:lang w:val="en-US"/>
        </w:rPr>
        <w:t xml:space="preserve"> parties.</w:t>
      </w:r>
    </w:p>
    <w:p w14:paraId="6F7758CF" w14:textId="5096E413" w:rsidR="00E50929" w:rsidRDefault="00E50929" w:rsidP="00AF17C5">
      <w:pPr>
        <w:pStyle w:val="ListParagraph"/>
        <w:spacing w:after="0" w:line="360" w:lineRule="auto"/>
        <w:ind w:left="450"/>
        <w:contextualSpacing w:val="0"/>
        <w:jc w:val="thaiDistribute"/>
        <w:rPr>
          <w:rFonts w:asciiTheme="majorHAnsi" w:hAnsiTheme="majorHAnsi" w:cstheme="majorHAnsi"/>
          <w:sz w:val="19"/>
          <w:szCs w:val="19"/>
          <w:lang w:val="en-US"/>
        </w:rPr>
      </w:pPr>
    </w:p>
    <w:p w14:paraId="47B895E0" w14:textId="371858F2" w:rsidR="00E50929" w:rsidRPr="00AF17C5" w:rsidRDefault="00E50929" w:rsidP="00AF17C5">
      <w:pPr>
        <w:pStyle w:val="ListParagraph"/>
        <w:spacing w:after="0" w:line="360" w:lineRule="auto"/>
        <w:ind w:left="450"/>
        <w:contextualSpacing w:val="0"/>
        <w:jc w:val="thaiDistribute"/>
        <w:rPr>
          <w:rFonts w:asciiTheme="majorHAnsi" w:hAnsiTheme="majorHAnsi" w:cstheme="majorHAnsi"/>
          <w:sz w:val="19"/>
          <w:szCs w:val="19"/>
          <w:lang w:val="en-US"/>
        </w:rPr>
      </w:pPr>
      <w:r>
        <w:rPr>
          <w:rFonts w:asciiTheme="majorHAnsi" w:hAnsiTheme="majorHAnsi" w:cstheme="majorHAnsi"/>
          <w:sz w:val="19"/>
          <w:szCs w:val="19"/>
          <w:lang w:val="en-US"/>
        </w:rPr>
        <w:t>However, on the 30 December 2020, the Concessionaires rec</w:t>
      </w:r>
      <w:r w:rsidR="00A83F49">
        <w:rPr>
          <w:rFonts w:asciiTheme="majorHAnsi" w:hAnsiTheme="majorHAnsi" w:cstheme="majorHAnsi"/>
          <w:sz w:val="19"/>
          <w:szCs w:val="19"/>
          <w:lang w:val="en-US"/>
        </w:rPr>
        <w:t xml:space="preserve">eived the </w:t>
      </w:r>
      <w:r w:rsidR="0007606E">
        <w:rPr>
          <w:rFonts w:asciiTheme="majorHAnsi" w:hAnsiTheme="majorHAnsi" w:cstheme="majorHAnsi"/>
          <w:sz w:val="19"/>
          <w:szCs w:val="19"/>
          <w:lang w:val="en-US"/>
        </w:rPr>
        <w:t>N</w:t>
      </w:r>
      <w:r w:rsidR="00A83F49">
        <w:rPr>
          <w:rFonts w:asciiTheme="majorHAnsi" w:hAnsiTheme="majorHAnsi" w:cstheme="majorHAnsi"/>
          <w:sz w:val="19"/>
          <w:szCs w:val="19"/>
          <w:lang w:val="en-US"/>
        </w:rPr>
        <w:t>otice of Termination</w:t>
      </w:r>
      <w:r w:rsidR="00554679">
        <w:rPr>
          <w:rFonts w:asciiTheme="majorHAnsi" w:hAnsiTheme="majorHAnsi" w:cstheme="majorHAnsi"/>
          <w:sz w:val="19"/>
          <w:szCs w:val="19"/>
          <w:lang w:val="en-US"/>
        </w:rPr>
        <w:t xml:space="preserve"> </w:t>
      </w:r>
      <w:r w:rsidR="007B4B1A">
        <w:rPr>
          <w:rFonts w:asciiTheme="majorHAnsi" w:hAnsiTheme="majorHAnsi" w:cstheme="majorHAnsi"/>
          <w:sz w:val="19"/>
          <w:szCs w:val="19"/>
          <w:lang w:val="en-US"/>
        </w:rPr>
        <w:t>for all concession agreements</w:t>
      </w:r>
      <w:r w:rsidR="00EC5A7A">
        <w:rPr>
          <w:rFonts w:asciiTheme="majorHAnsi" w:hAnsiTheme="majorHAnsi" w:cstheme="majorHAnsi"/>
          <w:sz w:val="19"/>
          <w:szCs w:val="19"/>
          <w:lang w:val="en-US"/>
        </w:rPr>
        <w:t xml:space="preserve"> of the D</w:t>
      </w:r>
      <w:r w:rsidR="00C15DB0">
        <w:rPr>
          <w:rFonts w:asciiTheme="majorHAnsi" w:hAnsiTheme="majorHAnsi" w:cstheme="majorHAnsi"/>
          <w:sz w:val="19"/>
          <w:szCs w:val="19"/>
          <w:lang w:val="en-US"/>
        </w:rPr>
        <w:t>SEZ Initial Phase</w:t>
      </w:r>
      <w:r w:rsidR="007B4B1A">
        <w:rPr>
          <w:rFonts w:asciiTheme="majorHAnsi" w:hAnsiTheme="majorHAnsi" w:cstheme="majorHAnsi"/>
          <w:sz w:val="19"/>
          <w:szCs w:val="19"/>
          <w:lang w:val="en-US"/>
        </w:rPr>
        <w:t xml:space="preserve"> </w:t>
      </w:r>
      <w:r w:rsidR="00554679">
        <w:rPr>
          <w:rFonts w:asciiTheme="majorHAnsi" w:hAnsiTheme="majorHAnsi" w:cstheme="majorHAnsi"/>
          <w:sz w:val="19"/>
          <w:szCs w:val="19"/>
          <w:lang w:val="en-US"/>
        </w:rPr>
        <w:t>from the DSEZ MC</w:t>
      </w:r>
      <w:r w:rsidR="001726C5">
        <w:rPr>
          <w:rFonts w:asciiTheme="majorHAnsi" w:hAnsiTheme="majorHAnsi" w:cstheme="majorHAnsi"/>
          <w:sz w:val="19"/>
          <w:szCs w:val="19"/>
          <w:lang w:val="en-US"/>
        </w:rPr>
        <w:t xml:space="preserve"> claiming that the Concessionaires </w:t>
      </w:r>
      <w:r w:rsidR="002B5393" w:rsidRPr="002B5393">
        <w:rPr>
          <w:rFonts w:asciiTheme="majorHAnsi" w:hAnsiTheme="majorHAnsi" w:cstheme="majorHAnsi"/>
          <w:sz w:val="19"/>
          <w:szCs w:val="19"/>
          <w:lang w:val="en-US"/>
        </w:rPr>
        <w:t xml:space="preserve">had breached the conditions of the concession agreement </w:t>
      </w:r>
      <w:r w:rsidR="000B32C2">
        <w:rPr>
          <w:rFonts w:asciiTheme="majorHAnsi" w:hAnsiTheme="majorHAnsi" w:cstheme="majorHAnsi"/>
          <w:sz w:val="19"/>
          <w:szCs w:val="19"/>
          <w:lang w:val="en-US"/>
        </w:rPr>
        <w:t>relevant to</w:t>
      </w:r>
      <w:r w:rsidR="002B5393" w:rsidRPr="002B5393">
        <w:rPr>
          <w:rFonts w:asciiTheme="majorHAnsi" w:hAnsiTheme="majorHAnsi" w:cstheme="majorHAnsi"/>
          <w:sz w:val="19"/>
          <w:szCs w:val="19"/>
          <w:lang w:val="en-US"/>
        </w:rPr>
        <w:t xml:space="preserve"> the payment of annual concession fee and </w:t>
      </w:r>
      <w:r w:rsidR="00232BC9">
        <w:rPr>
          <w:rFonts w:asciiTheme="majorHAnsi" w:hAnsiTheme="majorHAnsi" w:cstheme="majorHAnsi"/>
          <w:sz w:val="19"/>
          <w:szCs w:val="19"/>
          <w:lang w:val="en-US"/>
        </w:rPr>
        <w:t xml:space="preserve">the conditions of the concession agreement for the Initial Industrial Estate and Two-lane </w:t>
      </w:r>
      <w:r w:rsidR="003305F1">
        <w:rPr>
          <w:rFonts w:asciiTheme="majorHAnsi" w:hAnsiTheme="majorHAnsi" w:cstheme="majorHAnsi"/>
          <w:sz w:val="19"/>
          <w:szCs w:val="19"/>
          <w:lang w:val="en-US"/>
        </w:rPr>
        <w:t>R</w:t>
      </w:r>
      <w:r w:rsidR="00232BC9">
        <w:rPr>
          <w:rFonts w:asciiTheme="majorHAnsi" w:hAnsiTheme="majorHAnsi" w:cstheme="majorHAnsi"/>
          <w:sz w:val="19"/>
          <w:szCs w:val="19"/>
          <w:lang w:val="en-US"/>
        </w:rPr>
        <w:t>oad</w:t>
      </w:r>
      <w:r w:rsidR="001C5AC6">
        <w:rPr>
          <w:rFonts w:asciiTheme="majorHAnsi" w:hAnsiTheme="majorHAnsi" w:cstheme="majorHAnsi"/>
          <w:sz w:val="19"/>
          <w:szCs w:val="19"/>
          <w:lang w:val="en-US"/>
        </w:rPr>
        <w:t xml:space="preserve"> which </w:t>
      </w:r>
      <w:r w:rsidR="00D12596">
        <w:rPr>
          <w:rFonts w:asciiTheme="majorHAnsi" w:hAnsiTheme="majorHAnsi" w:cstheme="majorHAnsi"/>
          <w:sz w:val="19"/>
          <w:szCs w:val="19"/>
          <w:lang w:val="en-US"/>
        </w:rPr>
        <w:t xml:space="preserve">additional </w:t>
      </w:r>
      <w:r w:rsidR="001C5AC6">
        <w:rPr>
          <w:rFonts w:asciiTheme="majorHAnsi" w:hAnsiTheme="majorHAnsi" w:cstheme="majorHAnsi"/>
          <w:sz w:val="19"/>
          <w:szCs w:val="19"/>
          <w:lang w:val="en-US"/>
        </w:rPr>
        <w:t>determine</w:t>
      </w:r>
      <w:r w:rsidR="00D12596">
        <w:rPr>
          <w:rFonts w:asciiTheme="majorHAnsi" w:hAnsiTheme="majorHAnsi" w:cstheme="majorHAnsi"/>
          <w:sz w:val="19"/>
          <w:szCs w:val="19"/>
          <w:lang w:val="en-US"/>
        </w:rPr>
        <w:t>d by the DSEZ MC</w:t>
      </w:r>
      <w:r w:rsidR="001C648C">
        <w:rPr>
          <w:rFonts w:asciiTheme="majorHAnsi" w:hAnsiTheme="majorHAnsi" w:cstheme="majorHAnsi"/>
          <w:sz w:val="19"/>
          <w:szCs w:val="19"/>
          <w:lang w:val="en-US"/>
        </w:rPr>
        <w:t>. This requires th</w:t>
      </w:r>
      <w:r w:rsidR="00140DF0">
        <w:rPr>
          <w:rFonts w:asciiTheme="majorHAnsi" w:hAnsiTheme="majorHAnsi" w:cstheme="majorHAnsi"/>
          <w:sz w:val="19"/>
          <w:szCs w:val="19"/>
          <w:lang w:val="en-US"/>
        </w:rPr>
        <w:t>e</w:t>
      </w:r>
      <w:r w:rsidR="001C648C">
        <w:rPr>
          <w:rFonts w:asciiTheme="majorHAnsi" w:hAnsiTheme="majorHAnsi" w:cstheme="majorHAnsi"/>
          <w:sz w:val="19"/>
          <w:szCs w:val="19"/>
          <w:lang w:val="en-US"/>
        </w:rPr>
        <w:t xml:space="preserve"> </w:t>
      </w:r>
      <w:r w:rsidR="00E25B10">
        <w:rPr>
          <w:rFonts w:asciiTheme="majorHAnsi" w:hAnsiTheme="majorHAnsi" w:cstheme="majorHAnsi"/>
          <w:sz w:val="19"/>
          <w:szCs w:val="19"/>
          <w:lang w:val="en-US"/>
        </w:rPr>
        <w:t>C</w:t>
      </w:r>
      <w:r w:rsidR="001C648C">
        <w:rPr>
          <w:rFonts w:asciiTheme="majorHAnsi" w:hAnsiTheme="majorHAnsi" w:cstheme="majorHAnsi"/>
          <w:sz w:val="19"/>
          <w:szCs w:val="19"/>
          <w:lang w:val="en-US"/>
        </w:rPr>
        <w:t>oncessionaire</w:t>
      </w:r>
      <w:r w:rsidR="00E25B10">
        <w:rPr>
          <w:rFonts w:asciiTheme="majorHAnsi" w:hAnsiTheme="majorHAnsi" w:cstheme="majorHAnsi"/>
          <w:sz w:val="19"/>
          <w:szCs w:val="19"/>
          <w:lang w:val="en-US"/>
        </w:rPr>
        <w:t>s</w:t>
      </w:r>
      <w:r w:rsidR="001C648C">
        <w:rPr>
          <w:rFonts w:asciiTheme="majorHAnsi" w:hAnsiTheme="majorHAnsi" w:cstheme="majorHAnsi"/>
          <w:sz w:val="19"/>
          <w:szCs w:val="19"/>
          <w:lang w:val="en-US"/>
        </w:rPr>
        <w:t xml:space="preserve"> </w:t>
      </w:r>
      <w:r w:rsidR="00140DF0">
        <w:rPr>
          <w:rFonts w:asciiTheme="majorHAnsi" w:hAnsiTheme="majorHAnsi" w:cstheme="majorHAnsi"/>
          <w:sz w:val="19"/>
          <w:szCs w:val="19"/>
          <w:lang w:val="en-US"/>
        </w:rPr>
        <w:t xml:space="preserve">to </w:t>
      </w:r>
      <w:r w:rsidR="00ED6B07">
        <w:rPr>
          <w:rFonts w:asciiTheme="majorHAnsi" w:hAnsiTheme="majorHAnsi" w:cstheme="majorHAnsi"/>
          <w:sz w:val="19"/>
          <w:szCs w:val="19"/>
          <w:lang w:val="en-US"/>
        </w:rPr>
        <w:t>enforce Italian-Thai Development P</w:t>
      </w:r>
      <w:r w:rsidR="0068597A">
        <w:rPr>
          <w:rFonts w:asciiTheme="majorHAnsi" w:hAnsiTheme="majorHAnsi" w:cstheme="majorHAnsi"/>
          <w:sz w:val="19"/>
          <w:szCs w:val="19"/>
          <w:lang w:val="en-US"/>
        </w:rPr>
        <w:t>ublic Company Limited</w:t>
      </w:r>
      <w:r w:rsidR="00ED6B07">
        <w:rPr>
          <w:rFonts w:asciiTheme="majorHAnsi" w:hAnsiTheme="majorHAnsi" w:cstheme="majorHAnsi"/>
          <w:sz w:val="19"/>
          <w:szCs w:val="19"/>
          <w:lang w:val="en-US"/>
        </w:rPr>
        <w:t xml:space="preserve">. </w:t>
      </w:r>
      <w:r w:rsidR="00626DC7">
        <w:rPr>
          <w:rFonts w:asciiTheme="majorHAnsi" w:hAnsiTheme="majorHAnsi" w:cstheme="majorHAnsi"/>
          <w:sz w:val="19"/>
          <w:szCs w:val="19"/>
          <w:lang w:val="en-US"/>
        </w:rPr>
        <w:t xml:space="preserve">to sign the document releasing the </w:t>
      </w:r>
      <w:r w:rsidR="009736F8">
        <w:rPr>
          <w:rFonts w:asciiTheme="majorHAnsi" w:hAnsiTheme="majorHAnsi" w:cstheme="majorHAnsi"/>
          <w:sz w:val="19"/>
          <w:szCs w:val="19"/>
          <w:lang w:val="en-US"/>
        </w:rPr>
        <w:t>Group</w:t>
      </w:r>
      <w:r w:rsidR="00140DF0">
        <w:rPr>
          <w:rFonts w:asciiTheme="majorHAnsi" w:hAnsiTheme="majorHAnsi" w:cstheme="majorHAnsi"/>
          <w:sz w:val="19"/>
          <w:szCs w:val="19"/>
          <w:lang w:val="en-US"/>
        </w:rPr>
        <w:t>’s right to</w:t>
      </w:r>
      <w:r w:rsidR="009736F8">
        <w:rPr>
          <w:rFonts w:asciiTheme="majorHAnsi" w:hAnsiTheme="majorHAnsi" w:cstheme="majorHAnsi"/>
          <w:sz w:val="19"/>
          <w:szCs w:val="19"/>
          <w:lang w:val="en-US"/>
        </w:rPr>
        <w:t xml:space="preserve"> reimburse</w:t>
      </w:r>
      <w:r w:rsidR="00385D65">
        <w:rPr>
          <w:rFonts w:asciiTheme="majorHAnsi" w:hAnsiTheme="majorHAnsi" w:cstheme="majorHAnsi"/>
          <w:sz w:val="19"/>
          <w:szCs w:val="19"/>
          <w:lang w:val="en-US"/>
        </w:rPr>
        <w:t xml:space="preserve"> the previous investments</w:t>
      </w:r>
      <w:r w:rsidR="009736F8">
        <w:rPr>
          <w:rFonts w:asciiTheme="majorHAnsi" w:hAnsiTheme="majorHAnsi" w:cstheme="majorHAnsi"/>
          <w:sz w:val="19"/>
          <w:szCs w:val="19"/>
          <w:lang w:val="en-US"/>
        </w:rPr>
        <w:t xml:space="preserve"> in the Tripartite Memorandum. </w:t>
      </w:r>
    </w:p>
    <w:p w14:paraId="63AEDD60" w14:textId="341037C0" w:rsidR="00FA494F" w:rsidRDefault="00FA494F" w:rsidP="00153E05">
      <w:pPr>
        <w:pStyle w:val="ListParagraph"/>
        <w:spacing w:after="0" w:line="360" w:lineRule="auto"/>
        <w:ind w:left="450"/>
        <w:contextualSpacing w:val="0"/>
        <w:jc w:val="thaiDistribute"/>
        <w:rPr>
          <w:rFonts w:asciiTheme="majorHAnsi" w:hAnsiTheme="majorHAnsi" w:cstheme="majorHAnsi"/>
          <w:sz w:val="19"/>
          <w:szCs w:val="19"/>
        </w:rPr>
      </w:pPr>
    </w:p>
    <w:p w14:paraId="15126D43" w14:textId="33B3BED0" w:rsidR="000B5267" w:rsidRDefault="00FA494F" w:rsidP="00C33BC4">
      <w:pPr>
        <w:pStyle w:val="ListParagraph"/>
        <w:spacing w:after="0" w:line="360" w:lineRule="auto"/>
        <w:ind w:left="450"/>
        <w:contextualSpacing w:val="0"/>
        <w:jc w:val="thaiDistribute"/>
        <w:rPr>
          <w:rFonts w:asciiTheme="majorHAnsi" w:hAnsiTheme="majorHAnsi" w:cstheme="majorHAnsi"/>
          <w:sz w:val="19"/>
          <w:szCs w:val="19"/>
        </w:rPr>
      </w:pPr>
      <w:proofErr w:type="gramStart"/>
      <w:r>
        <w:rPr>
          <w:rFonts w:asciiTheme="majorHAnsi" w:hAnsiTheme="majorHAnsi" w:cstheme="majorHAnsi"/>
          <w:sz w:val="19"/>
          <w:szCs w:val="19"/>
        </w:rPr>
        <w:t>In order to</w:t>
      </w:r>
      <w:proofErr w:type="gramEnd"/>
      <w:r>
        <w:rPr>
          <w:rFonts w:asciiTheme="majorHAnsi" w:hAnsiTheme="majorHAnsi" w:cstheme="majorHAnsi"/>
          <w:sz w:val="19"/>
          <w:szCs w:val="19"/>
        </w:rPr>
        <w:t xml:space="preserve"> protect the right to </w:t>
      </w:r>
      <w:r w:rsidRPr="0089075E">
        <w:rPr>
          <w:rFonts w:asciiTheme="majorHAnsi" w:hAnsiTheme="majorHAnsi" w:cstheme="majorHAnsi"/>
          <w:sz w:val="19"/>
          <w:szCs w:val="19"/>
        </w:rPr>
        <w:t>reimburs</w:t>
      </w:r>
      <w:r w:rsidR="00662037" w:rsidRPr="0089075E">
        <w:rPr>
          <w:rFonts w:asciiTheme="majorHAnsi" w:hAnsiTheme="majorHAnsi" w:cstheme="majorHAnsi"/>
          <w:sz w:val="19"/>
          <w:szCs w:val="19"/>
        </w:rPr>
        <w:t>e</w:t>
      </w:r>
      <w:r w:rsidRPr="0089075E">
        <w:rPr>
          <w:rFonts w:asciiTheme="majorHAnsi" w:hAnsiTheme="majorHAnsi" w:cstheme="majorHAnsi"/>
          <w:sz w:val="19"/>
          <w:szCs w:val="19"/>
        </w:rPr>
        <w:t xml:space="preserve"> </w:t>
      </w:r>
      <w:r w:rsidR="00D65F3A" w:rsidRPr="0089075E">
        <w:rPr>
          <w:rFonts w:asciiTheme="majorHAnsi" w:hAnsiTheme="majorHAnsi" w:cstheme="majorHAnsi"/>
          <w:sz w:val="19"/>
          <w:szCs w:val="19"/>
        </w:rPr>
        <w:t>investment</w:t>
      </w:r>
      <w:r w:rsidR="00A03698" w:rsidRPr="0089075E">
        <w:rPr>
          <w:rFonts w:asciiTheme="majorHAnsi" w:hAnsiTheme="majorHAnsi" w:cstheme="majorHAnsi"/>
          <w:sz w:val="19"/>
          <w:szCs w:val="19"/>
        </w:rPr>
        <w:t xml:space="preserve"> cost mention</w:t>
      </w:r>
      <w:r w:rsidR="00A03698">
        <w:rPr>
          <w:rFonts w:asciiTheme="majorHAnsi" w:hAnsiTheme="majorHAnsi" w:cstheme="majorHAnsi"/>
          <w:sz w:val="19"/>
          <w:szCs w:val="19"/>
        </w:rPr>
        <w:t xml:space="preserve"> </w:t>
      </w:r>
      <w:r>
        <w:rPr>
          <w:rFonts w:asciiTheme="majorHAnsi" w:hAnsiTheme="majorHAnsi" w:cstheme="majorHAnsi"/>
          <w:sz w:val="19"/>
          <w:szCs w:val="19"/>
        </w:rPr>
        <w:t>in the aforementioned me</w:t>
      </w:r>
      <w:r w:rsidR="00F01251">
        <w:rPr>
          <w:rFonts w:asciiTheme="majorHAnsi" w:hAnsiTheme="majorHAnsi" w:cstheme="majorHAnsi"/>
          <w:sz w:val="19"/>
          <w:szCs w:val="19"/>
        </w:rPr>
        <w:t>morandum, on 19 January 2021, the Concessionaires</w:t>
      </w:r>
      <w:r w:rsidR="00C84398">
        <w:rPr>
          <w:rFonts w:asciiTheme="majorHAnsi" w:hAnsiTheme="majorHAnsi" w:cstheme="majorHAnsi"/>
          <w:sz w:val="19"/>
          <w:szCs w:val="19"/>
        </w:rPr>
        <w:t xml:space="preserve"> has</w:t>
      </w:r>
      <w:r w:rsidR="00F01251">
        <w:rPr>
          <w:rFonts w:asciiTheme="majorHAnsi" w:hAnsiTheme="majorHAnsi" w:cstheme="majorHAnsi"/>
          <w:sz w:val="19"/>
          <w:szCs w:val="19"/>
        </w:rPr>
        <w:t xml:space="preserve"> sent the </w:t>
      </w:r>
      <w:r w:rsidR="001C12F6">
        <w:rPr>
          <w:rFonts w:asciiTheme="majorHAnsi" w:hAnsiTheme="majorHAnsi" w:cstheme="majorHAnsi"/>
          <w:sz w:val="19"/>
          <w:szCs w:val="19"/>
        </w:rPr>
        <w:t xml:space="preserve">notice to elucidate the reason for cancellation </w:t>
      </w:r>
      <w:r w:rsidR="006F0CCC">
        <w:rPr>
          <w:rFonts w:asciiTheme="majorHAnsi" w:hAnsiTheme="majorHAnsi" w:cstheme="majorHAnsi"/>
          <w:sz w:val="19"/>
          <w:szCs w:val="19"/>
        </w:rPr>
        <w:t xml:space="preserve">of agreement to </w:t>
      </w:r>
      <w:r w:rsidR="006E2F31">
        <w:rPr>
          <w:rFonts w:asciiTheme="majorHAnsi" w:hAnsiTheme="majorHAnsi" w:cstheme="majorHAnsi"/>
          <w:sz w:val="19"/>
          <w:szCs w:val="19"/>
        </w:rPr>
        <w:t xml:space="preserve">the </w:t>
      </w:r>
      <w:r w:rsidR="006F0CCC">
        <w:rPr>
          <w:rFonts w:asciiTheme="majorHAnsi" w:hAnsiTheme="majorHAnsi" w:cstheme="majorHAnsi"/>
          <w:sz w:val="19"/>
          <w:szCs w:val="19"/>
        </w:rPr>
        <w:t xml:space="preserve">DSEZ MC </w:t>
      </w:r>
      <w:r w:rsidR="00714E17">
        <w:rPr>
          <w:rFonts w:asciiTheme="majorHAnsi" w:hAnsiTheme="majorHAnsi" w:cstheme="majorHAnsi"/>
          <w:sz w:val="19"/>
          <w:szCs w:val="19"/>
        </w:rPr>
        <w:t>disputing that</w:t>
      </w:r>
      <w:r w:rsidR="006F0CCC">
        <w:rPr>
          <w:rFonts w:asciiTheme="majorHAnsi" w:hAnsiTheme="majorHAnsi" w:cstheme="majorHAnsi"/>
          <w:sz w:val="19"/>
          <w:szCs w:val="19"/>
        </w:rPr>
        <w:t xml:space="preserve"> the additional </w:t>
      </w:r>
      <w:r w:rsidR="00624564">
        <w:rPr>
          <w:rFonts w:asciiTheme="majorHAnsi" w:hAnsiTheme="majorHAnsi" w:cstheme="majorHAnsi"/>
          <w:sz w:val="19"/>
          <w:szCs w:val="19"/>
        </w:rPr>
        <w:t xml:space="preserve">conditions stated are not form </w:t>
      </w:r>
      <w:r w:rsidR="00117F41">
        <w:rPr>
          <w:rFonts w:asciiTheme="majorHAnsi" w:hAnsiTheme="majorHAnsi" w:cstheme="majorHAnsi"/>
          <w:sz w:val="19"/>
          <w:szCs w:val="19"/>
        </w:rPr>
        <w:t xml:space="preserve">part of </w:t>
      </w:r>
      <w:r w:rsidR="00624564">
        <w:rPr>
          <w:rFonts w:asciiTheme="majorHAnsi" w:hAnsiTheme="majorHAnsi" w:cstheme="majorHAnsi"/>
          <w:sz w:val="19"/>
          <w:szCs w:val="19"/>
        </w:rPr>
        <w:t xml:space="preserve">the mutually agreed </w:t>
      </w:r>
      <w:r w:rsidR="00FE110D">
        <w:rPr>
          <w:rFonts w:asciiTheme="majorHAnsi" w:hAnsiTheme="majorHAnsi" w:cstheme="majorHAnsi"/>
          <w:sz w:val="19"/>
          <w:szCs w:val="19"/>
        </w:rPr>
        <w:t xml:space="preserve">by </w:t>
      </w:r>
      <w:r w:rsidR="00624564">
        <w:rPr>
          <w:rFonts w:asciiTheme="majorHAnsi" w:hAnsiTheme="majorHAnsi" w:cstheme="majorHAnsi"/>
          <w:sz w:val="19"/>
          <w:szCs w:val="19"/>
        </w:rPr>
        <w:t xml:space="preserve">the Concessionaries </w:t>
      </w:r>
      <w:r w:rsidR="005A72DA">
        <w:rPr>
          <w:rFonts w:asciiTheme="majorHAnsi" w:hAnsiTheme="majorHAnsi" w:cstheme="majorHAnsi"/>
          <w:sz w:val="19"/>
          <w:szCs w:val="19"/>
        </w:rPr>
        <w:t xml:space="preserve">but merely came from </w:t>
      </w:r>
      <w:r w:rsidR="00D060C8">
        <w:rPr>
          <w:rFonts w:asciiTheme="majorHAnsi" w:hAnsiTheme="majorHAnsi" w:cstheme="majorHAnsi"/>
          <w:sz w:val="19"/>
          <w:szCs w:val="19"/>
        </w:rPr>
        <w:t xml:space="preserve">the judgement of the </w:t>
      </w:r>
      <w:r w:rsidR="005A72DA">
        <w:rPr>
          <w:rFonts w:asciiTheme="majorHAnsi" w:hAnsiTheme="majorHAnsi" w:cstheme="majorHAnsi"/>
          <w:sz w:val="19"/>
          <w:szCs w:val="19"/>
        </w:rPr>
        <w:t xml:space="preserve">DSEZ MC only. </w:t>
      </w:r>
      <w:r w:rsidR="00946A0D">
        <w:rPr>
          <w:rFonts w:asciiTheme="majorHAnsi" w:hAnsiTheme="majorHAnsi" w:cstheme="majorHAnsi"/>
          <w:sz w:val="19"/>
          <w:szCs w:val="19"/>
        </w:rPr>
        <w:t>The Concessionaire ha</w:t>
      </w:r>
      <w:r w:rsidR="00EF33B8">
        <w:rPr>
          <w:rFonts w:asciiTheme="majorHAnsi" w:hAnsiTheme="majorHAnsi" w:cstheme="majorHAnsi"/>
          <w:sz w:val="19"/>
          <w:szCs w:val="19"/>
        </w:rPr>
        <w:t>s</w:t>
      </w:r>
      <w:r w:rsidR="00946A0D">
        <w:rPr>
          <w:rFonts w:asciiTheme="majorHAnsi" w:hAnsiTheme="majorHAnsi" w:cstheme="majorHAnsi"/>
          <w:sz w:val="19"/>
          <w:szCs w:val="19"/>
        </w:rPr>
        <w:t xml:space="preserve"> proposed a discussion on this matter which </w:t>
      </w:r>
      <w:r w:rsidR="002D1D13">
        <w:rPr>
          <w:rFonts w:asciiTheme="majorHAnsi" w:hAnsiTheme="majorHAnsi" w:cstheme="majorHAnsi"/>
          <w:sz w:val="19"/>
          <w:szCs w:val="19"/>
        </w:rPr>
        <w:t>is</w:t>
      </w:r>
      <w:r w:rsidR="006133BE">
        <w:rPr>
          <w:rFonts w:asciiTheme="majorHAnsi" w:hAnsiTheme="majorHAnsi" w:cstheme="majorHAnsi"/>
          <w:sz w:val="19"/>
          <w:szCs w:val="19"/>
        </w:rPr>
        <w:t xml:space="preserve"> under process </w:t>
      </w:r>
      <w:r w:rsidR="00401534">
        <w:rPr>
          <w:rFonts w:asciiTheme="majorHAnsi" w:hAnsiTheme="majorHAnsi" w:cstheme="majorHAnsi"/>
          <w:sz w:val="19"/>
          <w:szCs w:val="19"/>
        </w:rPr>
        <w:t xml:space="preserve">of </w:t>
      </w:r>
      <w:r w:rsidR="006133BE">
        <w:rPr>
          <w:rFonts w:asciiTheme="majorHAnsi" w:hAnsiTheme="majorHAnsi" w:cstheme="majorHAnsi"/>
          <w:sz w:val="19"/>
          <w:szCs w:val="19"/>
        </w:rPr>
        <w:t>consideration from such entity.</w:t>
      </w:r>
    </w:p>
    <w:p w14:paraId="4BB53E5D" w14:textId="1A9813A2" w:rsidR="000B5267" w:rsidRDefault="000B5267" w:rsidP="00C33BC4">
      <w:pPr>
        <w:pStyle w:val="ListParagraph"/>
        <w:spacing w:after="0" w:line="360" w:lineRule="auto"/>
        <w:ind w:left="450"/>
        <w:contextualSpacing w:val="0"/>
        <w:jc w:val="thaiDistribute"/>
        <w:rPr>
          <w:rFonts w:asciiTheme="majorHAnsi" w:hAnsiTheme="majorHAnsi" w:cstheme="majorHAnsi"/>
          <w:sz w:val="19"/>
          <w:szCs w:val="19"/>
        </w:rPr>
      </w:pPr>
    </w:p>
    <w:p w14:paraId="5735EB4B" w14:textId="4A9073FD" w:rsidR="003C4750" w:rsidRDefault="003C4750" w:rsidP="00C33BC4">
      <w:pPr>
        <w:pStyle w:val="ListParagraph"/>
        <w:spacing w:after="0" w:line="360" w:lineRule="auto"/>
        <w:ind w:left="450"/>
        <w:contextualSpacing w:val="0"/>
        <w:jc w:val="thaiDistribute"/>
        <w:rPr>
          <w:rFonts w:asciiTheme="majorHAnsi" w:hAnsiTheme="majorHAnsi" w:cstheme="majorHAnsi"/>
          <w:sz w:val="19"/>
          <w:szCs w:val="19"/>
        </w:rPr>
      </w:pPr>
    </w:p>
    <w:p w14:paraId="22BE7F4A" w14:textId="56037C06" w:rsidR="003C4750" w:rsidRDefault="003C4750" w:rsidP="00C33BC4">
      <w:pPr>
        <w:pStyle w:val="ListParagraph"/>
        <w:spacing w:after="0" w:line="360" w:lineRule="auto"/>
        <w:ind w:left="450"/>
        <w:contextualSpacing w:val="0"/>
        <w:jc w:val="thaiDistribute"/>
        <w:rPr>
          <w:rFonts w:asciiTheme="majorHAnsi" w:hAnsiTheme="majorHAnsi" w:cstheme="majorHAnsi"/>
          <w:sz w:val="19"/>
          <w:szCs w:val="19"/>
        </w:rPr>
      </w:pPr>
    </w:p>
    <w:p w14:paraId="5EB9DB9A" w14:textId="1B2A9297" w:rsidR="00514B59" w:rsidRDefault="00514B59" w:rsidP="00C33BC4">
      <w:pPr>
        <w:pStyle w:val="ListParagraph"/>
        <w:spacing w:after="0" w:line="360" w:lineRule="auto"/>
        <w:ind w:left="450"/>
        <w:contextualSpacing w:val="0"/>
        <w:jc w:val="thaiDistribute"/>
        <w:rPr>
          <w:rFonts w:asciiTheme="majorHAnsi" w:hAnsiTheme="majorHAnsi" w:cstheme="majorHAnsi"/>
          <w:sz w:val="19"/>
          <w:szCs w:val="19"/>
        </w:rPr>
      </w:pPr>
    </w:p>
    <w:p w14:paraId="4B46770F" w14:textId="77777777" w:rsidR="00514B59" w:rsidRDefault="00514B59" w:rsidP="00C33BC4">
      <w:pPr>
        <w:pStyle w:val="ListParagraph"/>
        <w:spacing w:after="0" w:line="360" w:lineRule="auto"/>
        <w:ind w:left="450"/>
        <w:contextualSpacing w:val="0"/>
        <w:jc w:val="thaiDistribute"/>
        <w:rPr>
          <w:rFonts w:asciiTheme="majorHAnsi" w:hAnsiTheme="majorHAnsi" w:cstheme="majorHAnsi"/>
          <w:sz w:val="19"/>
          <w:szCs w:val="19"/>
        </w:rPr>
      </w:pPr>
    </w:p>
    <w:p w14:paraId="2709F45B" w14:textId="43F00254" w:rsidR="003C4750" w:rsidRDefault="003C4750" w:rsidP="00C33BC4">
      <w:pPr>
        <w:pStyle w:val="ListParagraph"/>
        <w:spacing w:after="0" w:line="360" w:lineRule="auto"/>
        <w:ind w:left="450"/>
        <w:contextualSpacing w:val="0"/>
        <w:jc w:val="thaiDistribute"/>
        <w:rPr>
          <w:rFonts w:asciiTheme="majorHAnsi" w:hAnsiTheme="majorHAnsi" w:cstheme="majorHAnsi"/>
          <w:sz w:val="19"/>
          <w:szCs w:val="19"/>
        </w:rPr>
      </w:pPr>
    </w:p>
    <w:p w14:paraId="6996297E" w14:textId="40C2A82E" w:rsidR="003C4750" w:rsidRDefault="003C4750" w:rsidP="00C33BC4">
      <w:pPr>
        <w:pStyle w:val="ListParagraph"/>
        <w:spacing w:after="0" w:line="360" w:lineRule="auto"/>
        <w:ind w:left="450"/>
        <w:contextualSpacing w:val="0"/>
        <w:jc w:val="thaiDistribute"/>
        <w:rPr>
          <w:rFonts w:asciiTheme="majorHAnsi" w:hAnsiTheme="majorHAnsi" w:cstheme="majorHAnsi"/>
          <w:sz w:val="19"/>
          <w:szCs w:val="19"/>
        </w:rPr>
      </w:pPr>
    </w:p>
    <w:p w14:paraId="06BACBA6" w14:textId="4723581A" w:rsidR="003C4750" w:rsidRDefault="003C4750" w:rsidP="00C33BC4">
      <w:pPr>
        <w:pStyle w:val="ListParagraph"/>
        <w:spacing w:after="0" w:line="360" w:lineRule="auto"/>
        <w:ind w:left="450"/>
        <w:contextualSpacing w:val="0"/>
        <w:jc w:val="thaiDistribute"/>
        <w:rPr>
          <w:rFonts w:asciiTheme="majorHAnsi" w:hAnsiTheme="majorHAnsi" w:cstheme="majorHAnsi"/>
          <w:sz w:val="19"/>
          <w:szCs w:val="19"/>
        </w:rPr>
      </w:pPr>
    </w:p>
    <w:p w14:paraId="31F7AB26" w14:textId="056D9225" w:rsidR="003C4750" w:rsidRDefault="003C4750" w:rsidP="00C33BC4">
      <w:pPr>
        <w:pStyle w:val="ListParagraph"/>
        <w:spacing w:after="0" w:line="360" w:lineRule="auto"/>
        <w:ind w:left="450"/>
        <w:contextualSpacing w:val="0"/>
        <w:jc w:val="thaiDistribute"/>
        <w:rPr>
          <w:rFonts w:asciiTheme="majorHAnsi" w:hAnsiTheme="majorHAnsi" w:cstheme="majorHAnsi"/>
          <w:sz w:val="19"/>
          <w:szCs w:val="19"/>
        </w:rPr>
      </w:pPr>
    </w:p>
    <w:p w14:paraId="578C57E7" w14:textId="77777777" w:rsidR="003C4750" w:rsidRDefault="003C4750" w:rsidP="00C33BC4">
      <w:pPr>
        <w:pStyle w:val="ListParagraph"/>
        <w:spacing w:after="0" w:line="360" w:lineRule="auto"/>
        <w:ind w:left="450"/>
        <w:contextualSpacing w:val="0"/>
        <w:jc w:val="thaiDistribute"/>
        <w:rPr>
          <w:rFonts w:asciiTheme="majorHAnsi" w:hAnsiTheme="majorHAnsi" w:cstheme="majorHAnsi"/>
          <w:sz w:val="19"/>
          <w:szCs w:val="19"/>
        </w:rPr>
      </w:pPr>
    </w:p>
    <w:p w14:paraId="0A8909D5" w14:textId="608F9D95" w:rsidR="00986DBC" w:rsidRDefault="00980FE3" w:rsidP="00080377">
      <w:pPr>
        <w:pStyle w:val="ListParagraph"/>
        <w:spacing w:after="0" w:line="360" w:lineRule="auto"/>
        <w:ind w:left="426"/>
        <w:contextualSpacing w:val="0"/>
        <w:jc w:val="thaiDistribute"/>
        <w:rPr>
          <w:rFonts w:asciiTheme="majorHAnsi" w:hAnsiTheme="majorHAnsi" w:cstheme="majorHAnsi"/>
          <w:sz w:val="19"/>
          <w:szCs w:val="19"/>
        </w:rPr>
      </w:pPr>
      <w:r w:rsidRPr="00980FE3">
        <w:rPr>
          <w:rFonts w:asciiTheme="majorHAnsi" w:hAnsiTheme="majorHAnsi" w:cstheme="majorHAnsi"/>
          <w:sz w:val="19"/>
          <w:szCs w:val="19"/>
        </w:rPr>
        <w:lastRenderedPageBreak/>
        <w:t xml:space="preserve">As </w:t>
      </w:r>
      <w:r w:rsidR="000B5267">
        <w:rPr>
          <w:rFonts w:asciiTheme="majorHAnsi" w:hAnsiTheme="majorHAnsi" w:cstheme="majorHAnsi"/>
          <w:sz w:val="19"/>
          <w:szCs w:val="19"/>
        </w:rPr>
        <w:t xml:space="preserve">above </w:t>
      </w:r>
      <w:r w:rsidRPr="00980FE3">
        <w:rPr>
          <w:rFonts w:asciiTheme="majorHAnsi" w:hAnsiTheme="majorHAnsi" w:cstheme="majorHAnsi"/>
          <w:sz w:val="19"/>
          <w:szCs w:val="19"/>
        </w:rPr>
        <w:t>mentioned</w:t>
      </w:r>
      <w:r w:rsidR="000B5267">
        <w:rPr>
          <w:rFonts w:asciiTheme="majorHAnsi" w:hAnsiTheme="majorHAnsi" w:cstheme="majorHAnsi"/>
          <w:sz w:val="19"/>
          <w:szCs w:val="19"/>
        </w:rPr>
        <w:t>, a</w:t>
      </w:r>
      <w:r w:rsidRPr="00980FE3">
        <w:rPr>
          <w:rFonts w:asciiTheme="majorHAnsi" w:hAnsiTheme="majorHAnsi" w:cstheme="majorHAnsi"/>
          <w:sz w:val="19"/>
          <w:szCs w:val="19"/>
        </w:rPr>
        <w:t xml:space="preserve">lthough the right </w:t>
      </w:r>
      <w:r w:rsidR="002A10BC">
        <w:rPr>
          <w:rFonts w:asciiTheme="majorHAnsi" w:hAnsiTheme="majorHAnsi" w:cstheme="majorHAnsi"/>
          <w:sz w:val="19"/>
          <w:szCs w:val="19"/>
        </w:rPr>
        <w:t>for</w:t>
      </w:r>
      <w:r w:rsidR="000B5267">
        <w:rPr>
          <w:rFonts w:asciiTheme="majorHAnsi" w:hAnsiTheme="majorHAnsi" w:cstheme="majorHAnsi"/>
          <w:sz w:val="19"/>
          <w:szCs w:val="19"/>
        </w:rPr>
        <w:t xml:space="preserve"> the reimbursement </w:t>
      </w:r>
      <w:r w:rsidR="002A10BC">
        <w:rPr>
          <w:rFonts w:asciiTheme="majorHAnsi" w:hAnsiTheme="majorHAnsi" w:cstheme="majorHAnsi"/>
          <w:sz w:val="19"/>
          <w:szCs w:val="19"/>
        </w:rPr>
        <w:t>of</w:t>
      </w:r>
      <w:r w:rsidR="000B5267">
        <w:rPr>
          <w:rFonts w:asciiTheme="majorHAnsi" w:hAnsiTheme="majorHAnsi" w:cstheme="majorHAnsi"/>
          <w:sz w:val="19"/>
          <w:szCs w:val="19"/>
        </w:rPr>
        <w:t xml:space="preserve"> the </w:t>
      </w:r>
      <w:r w:rsidR="00C96F80">
        <w:rPr>
          <w:rFonts w:asciiTheme="majorHAnsi" w:hAnsiTheme="majorHAnsi" w:cstheme="majorHAnsi"/>
          <w:sz w:val="19"/>
          <w:szCs w:val="19"/>
        </w:rPr>
        <w:t xml:space="preserve">investments </w:t>
      </w:r>
      <w:r w:rsidRPr="00980FE3">
        <w:rPr>
          <w:rFonts w:asciiTheme="majorHAnsi" w:hAnsiTheme="majorHAnsi" w:cstheme="majorHAnsi"/>
          <w:sz w:val="19"/>
          <w:szCs w:val="19"/>
        </w:rPr>
        <w:t xml:space="preserve">in </w:t>
      </w:r>
      <w:r w:rsidR="006F2476" w:rsidRPr="00DA39EA">
        <w:rPr>
          <w:rFonts w:asciiTheme="majorHAnsi" w:hAnsiTheme="majorHAnsi" w:cstheme="majorHAnsi"/>
          <w:sz w:val="19"/>
          <w:szCs w:val="19"/>
          <w:lang w:val="en-US"/>
        </w:rPr>
        <w:t xml:space="preserve">the </w:t>
      </w:r>
      <w:proofErr w:type="spellStart"/>
      <w:r w:rsidR="006F2476" w:rsidRPr="00DA39EA">
        <w:rPr>
          <w:rFonts w:asciiTheme="majorHAnsi" w:hAnsiTheme="majorHAnsi" w:cstheme="majorHAnsi"/>
          <w:sz w:val="19"/>
          <w:szCs w:val="19"/>
          <w:lang w:val="en-US"/>
        </w:rPr>
        <w:t>Dawei</w:t>
      </w:r>
      <w:proofErr w:type="spellEnd"/>
      <w:r w:rsidR="006F2476" w:rsidRPr="00DA39EA">
        <w:rPr>
          <w:rFonts w:asciiTheme="majorHAnsi" w:hAnsiTheme="majorHAnsi" w:cstheme="majorHAnsi"/>
          <w:sz w:val="19"/>
          <w:szCs w:val="19"/>
          <w:lang w:val="en-US"/>
        </w:rPr>
        <w:t xml:space="preserve"> Special Economic Zone </w:t>
      </w:r>
      <w:r w:rsidR="004E5F91">
        <w:rPr>
          <w:rFonts w:asciiTheme="majorHAnsi" w:hAnsiTheme="majorHAnsi" w:cstheme="majorHAnsi"/>
          <w:sz w:val="19"/>
          <w:szCs w:val="19"/>
          <w:lang w:val="en-US"/>
        </w:rPr>
        <w:t xml:space="preserve">and related infrastructure and utilities </w:t>
      </w:r>
      <w:r w:rsidR="004A1C62">
        <w:rPr>
          <w:rFonts w:asciiTheme="majorHAnsi" w:hAnsiTheme="majorHAnsi" w:cstheme="majorHAnsi"/>
          <w:sz w:val="19"/>
          <w:szCs w:val="19"/>
          <w:lang w:val="en-US"/>
        </w:rPr>
        <w:t>which the Group</w:t>
      </w:r>
      <w:r w:rsidR="00FE0455">
        <w:rPr>
          <w:rFonts w:asciiTheme="majorHAnsi" w:hAnsiTheme="majorHAnsi" w:cstheme="majorHAnsi"/>
          <w:sz w:val="19"/>
          <w:szCs w:val="19"/>
          <w:lang w:val="en-US"/>
        </w:rPr>
        <w:t xml:space="preserve"> has previous invested </w:t>
      </w:r>
      <w:r w:rsidR="000C7E53">
        <w:rPr>
          <w:rFonts w:asciiTheme="majorHAnsi" w:hAnsiTheme="majorHAnsi" w:cstheme="majorHAnsi"/>
          <w:sz w:val="19"/>
          <w:szCs w:val="19"/>
          <w:lang w:val="en-US"/>
        </w:rPr>
        <w:t xml:space="preserve">still </w:t>
      </w:r>
      <w:r w:rsidR="00AA7A58">
        <w:rPr>
          <w:rFonts w:asciiTheme="majorHAnsi" w:hAnsiTheme="majorHAnsi" w:cstheme="majorHAnsi"/>
          <w:sz w:val="19"/>
          <w:szCs w:val="19"/>
          <w:lang w:val="en-US"/>
        </w:rPr>
        <w:t>refer</w:t>
      </w:r>
      <w:r w:rsidR="000C7E53">
        <w:rPr>
          <w:rFonts w:asciiTheme="majorHAnsi" w:hAnsiTheme="majorHAnsi" w:cstheme="majorHAnsi"/>
          <w:sz w:val="19"/>
          <w:szCs w:val="19"/>
          <w:lang w:val="en-US"/>
        </w:rPr>
        <w:t xml:space="preserve"> in the</w:t>
      </w:r>
      <w:r w:rsidR="00386DAE">
        <w:rPr>
          <w:rFonts w:asciiTheme="majorHAnsi" w:hAnsiTheme="majorHAnsi" w:cstheme="majorHAnsi"/>
          <w:sz w:val="19"/>
          <w:szCs w:val="19"/>
          <w:lang w:val="en-US"/>
        </w:rPr>
        <w:t xml:space="preserve"> Tripartite </w:t>
      </w:r>
      <w:r w:rsidR="00386DAE" w:rsidRPr="004579FC">
        <w:rPr>
          <w:rFonts w:asciiTheme="majorHAnsi" w:hAnsiTheme="majorHAnsi" w:cstheme="majorHAnsi"/>
          <w:sz w:val="19"/>
          <w:szCs w:val="19"/>
          <w:lang w:val="en-US"/>
        </w:rPr>
        <w:t>Memorandum</w:t>
      </w:r>
      <w:r w:rsidR="00AA7A58" w:rsidRPr="004579FC">
        <w:rPr>
          <w:rFonts w:asciiTheme="majorHAnsi" w:hAnsiTheme="majorHAnsi" w:cstheme="majorHAnsi"/>
          <w:sz w:val="19"/>
          <w:szCs w:val="19"/>
          <w:lang w:val="en-US"/>
        </w:rPr>
        <w:t xml:space="preserve">. However, the reimbursement amount </w:t>
      </w:r>
      <w:r w:rsidRPr="004579FC">
        <w:rPr>
          <w:rFonts w:asciiTheme="majorHAnsi" w:hAnsiTheme="majorHAnsi" w:cstheme="majorHAnsi"/>
          <w:sz w:val="19"/>
          <w:szCs w:val="19"/>
        </w:rPr>
        <w:t xml:space="preserve">is </w:t>
      </w:r>
      <w:r w:rsidR="009444E3" w:rsidRPr="004579FC">
        <w:rPr>
          <w:rFonts w:asciiTheme="majorHAnsi" w:hAnsiTheme="majorHAnsi" w:cstheme="majorHAnsi"/>
          <w:sz w:val="19"/>
          <w:szCs w:val="19"/>
        </w:rPr>
        <w:t xml:space="preserve">depending </w:t>
      </w:r>
      <w:r w:rsidRPr="004579FC">
        <w:rPr>
          <w:rFonts w:asciiTheme="majorHAnsi" w:hAnsiTheme="majorHAnsi" w:cstheme="majorHAnsi"/>
          <w:sz w:val="19"/>
          <w:szCs w:val="19"/>
        </w:rPr>
        <w:t xml:space="preserve">on the Due Diligence </w:t>
      </w:r>
      <w:r w:rsidR="009444E3" w:rsidRPr="004579FC">
        <w:rPr>
          <w:rFonts w:asciiTheme="majorHAnsi" w:hAnsiTheme="majorHAnsi" w:cstheme="majorHAnsi"/>
          <w:sz w:val="19"/>
          <w:szCs w:val="19"/>
        </w:rPr>
        <w:t>r</w:t>
      </w:r>
      <w:r w:rsidRPr="004579FC">
        <w:rPr>
          <w:rFonts w:asciiTheme="majorHAnsi" w:hAnsiTheme="majorHAnsi" w:cstheme="majorHAnsi"/>
          <w:sz w:val="19"/>
          <w:szCs w:val="19"/>
        </w:rPr>
        <w:t xml:space="preserve">eport from the </w:t>
      </w:r>
      <w:r w:rsidR="000351CD" w:rsidRPr="004579FC">
        <w:rPr>
          <w:rFonts w:asciiTheme="majorHAnsi" w:hAnsiTheme="majorHAnsi" w:cstheme="majorHAnsi"/>
          <w:sz w:val="19"/>
          <w:szCs w:val="19"/>
        </w:rPr>
        <w:t xml:space="preserve">advisor of SPV, for which the Group </w:t>
      </w:r>
      <w:r w:rsidR="0010393B" w:rsidRPr="004579FC">
        <w:rPr>
          <w:rFonts w:asciiTheme="majorHAnsi" w:hAnsiTheme="majorHAnsi" w:cstheme="majorHAnsi"/>
          <w:sz w:val="19"/>
          <w:szCs w:val="19"/>
        </w:rPr>
        <w:t xml:space="preserve">currently </w:t>
      </w:r>
      <w:r w:rsidRPr="004579FC">
        <w:rPr>
          <w:rFonts w:asciiTheme="majorHAnsi" w:hAnsiTheme="majorHAnsi" w:cstheme="majorHAnsi"/>
          <w:sz w:val="19"/>
          <w:szCs w:val="19"/>
        </w:rPr>
        <w:t>does not</w:t>
      </w:r>
      <w:r w:rsidR="00484103" w:rsidRPr="004579FC">
        <w:rPr>
          <w:rFonts w:asciiTheme="majorHAnsi" w:hAnsiTheme="majorHAnsi" w:cstheme="majorHAnsi"/>
          <w:sz w:val="19"/>
          <w:szCs w:val="19"/>
        </w:rPr>
        <w:t xml:space="preserve"> </w:t>
      </w:r>
      <w:r w:rsidR="000D5960" w:rsidRPr="004579FC">
        <w:rPr>
          <w:rFonts w:asciiTheme="majorHAnsi" w:hAnsiTheme="majorHAnsi" w:cstheme="majorHAnsi"/>
          <w:sz w:val="19"/>
          <w:szCs w:val="19"/>
        </w:rPr>
        <w:t>have the right to</w:t>
      </w:r>
      <w:r w:rsidRPr="004579FC">
        <w:rPr>
          <w:rFonts w:asciiTheme="majorHAnsi" w:hAnsiTheme="majorHAnsi" w:cstheme="majorHAnsi"/>
          <w:sz w:val="19"/>
          <w:szCs w:val="19"/>
        </w:rPr>
        <w:t xml:space="preserve"> </w:t>
      </w:r>
      <w:r w:rsidR="00077E5A" w:rsidRPr="004579FC">
        <w:rPr>
          <w:rFonts w:asciiTheme="majorHAnsi" w:hAnsiTheme="majorHAnsi" w:cstheme="majorHAnsi"/>
          <w:sz w:val="19"/>
          <w:szCs w:val="19"/>
        </w:rPr>
        <w:t>a</w:t>
      </w:r>
      <w:r w:rsidR="000351CD" w:rsidRPr="004579FC">
        <w:rPr>
          <w:rFonts w:asciiTheme="majorHAnsi" w:hAnsiTheme="majorHAnsi" w:cstheme="majorHAnsi"/>
          <w:sz w:val="19"/>
          <w:szCs w:val="19"/>
        </w:rPr>
        <w:t>ccess</w:t>
      </w:r>
      <w:r w:rsidRPr="004579FC">
        <w:rPr>
          <w:rFonts w:asciiTheme="majorHAnsi" w:hAnsiTheme="majorHAnsi" w:cstheme="majorHAnsi"/>
          <w:sz w:val="19"/>
          <w:szCs w:val="19"/>
        </w:rPr>
        <w:t xml:space="preserve"> </w:t>
      </w:r>
      <w:r w:rsidR="00E9210C" w:rsidRPr="004579FC">
        <w:rPr>
          <w:rFonts w:asciiTheme="majorHAnsi" w:hAnsiTheme="majorHAnsi" w:cstheme="majorHAnsi"/>
          <w:sz w:val="19"/>
          <w:szCs w:val="19"/>
        </w:rPr>
        <w:t xml:space="preserve">to </w:t>
      </w:r>
      <w:r w:rsidR="000351CD" w:rsidRPr="004579FC">
        <w:rPr>
          <w:rFonts w:asciiTheme="majorHAnsi" w:hAnsiTheme="majorHAnsi" w:cstheme="majorHAnsi"/>
          <w:sz w:val="19"/>
          <w:szCs w:val="19"/>
        </w:rPr>
        <w:t xml:space="preserve">such </w:t>
      </w:r>
      <w:r w:rsidRPr="004579FC">
        <w:rPr>
          <w:rFonts w:asciiTheme="majorHAnsi" w:hAnsiTheme="majorHAnsi" w:cstheme="majorHAnsi"/>
          <w:sz w:val="19"/>
          <w:szCs w:val="19"/>
        </w:rPr>
        <w:t>report</w:t>
      </w:r>
      <w:r w:rsidR="00077E5A" w:rsidRPr="004579FC">
        <w:rPr>
          <w:rFonts w:asciiTheme="majorHAnsi" w:hAnsiTheme="majorHAnsi" w:cstheme="majorHAnsi"/>
          <w:sz w:val="19"/>
          <w:szCs w:val="19"/>
        </w:rPr>
        <w:t>. I</w:t>
      </w:r>
      <w:r w:rsidRPr="004579FC">
        <w:rPr>
          <w:rFonts w:asciiTheme="majorHAnsi" w:hAnsiTheme="majorHAnsi" w:cstheme="majorHAnsi"/>
          <w:sz w:val="19"/>
          <w:szCs w:val="19"/>
        </w:rPr>
        <w:t xml:space="preserve">t </w:t>
      </w:r>
      <w:r w:rsidR="00F35CD2" w:rsidRPr="004579FC">
        <w:rPr>
          <w:rFonts w:asciiTheme="majorHAnsi" w:hAnsiTheme="majorHAnsi" w:cstheme="majorHAnsi"/>
          <w:sz w:val="19"/>
          <w:szCs w:val="19"/>
        </w:rPr>
        <w:t xml:space="preserve">also </w:t>
      </w:r>
      <w:r w:rsidRPr="004579FC">
        <w:rPr>
          <w:rFonts w:asciiTheme="majorHAnsi" w:hAnsiTheme="majorHAnsi" w:cstheme="majorHAnsi"/>
          <w:sz w:val="19"/>
          <w:szCs w:val="19"/>
        </w:rPr>
        <w:t>depends on the progress of the development of the D</w:t>
      </w:r>
      <w:r w:rsidR="00B31F6F" w:rsidRPr="004579FC">
        <w:rPr>
          <w:rFonts w:asciiTheme="majorHAnsi" w:hAnsiTheme="majorHAnsi" w:cstheme="majorHAnsi"/>
          <w:sz w:val="19"/>
          <w:szCs w:val="19"/>
        </w:rPr>
        <w:t xml:space="preserve">SEZ </w:t>
      </w:r>
      <w:r w:rsidRPr="004579FC">
        <w:rPr>
          <w:rFonts w:asciiTheme="majorHAnsi" w:hAnsiTheme="majorHAnsi" w:cstheme="majorHAnsi"/>
          <w:sz w:val="19"/>
          <w:szCs w:val="19"/>
        </w:rPr>
        <w:t>(Full Phase), which</w:t>
      </w:r>
      <w:r w:rsidR="00B31F6F" w:rsidRPr="004579FC">
        <w:rPr>
          <w:rFonts w:asciiTheme="majorHAnsi" w:hAnsiTheme="majorHAnsi" w:cstheme="majorHAnsi"/>
          <w:sz w:val="19"/>
          <w:szCs w:val="19"/>
        </w:rPr>
        <w:t xml:space="preserve"> </w:t>
      </w:r>
      <w:r w:rsidR="00B31F6F" w:rsidRPr="004579FC">
        <w:rPr>
          <w:rFonts w:asciiTheme="majorHAnsi" w:hAnsiTheme="majorHAnsi" w:cstheme="majorHAnsi"/>
          <w:sz w:val="19"/>
          <w:szCs w:val="19"/>
          <w:lang w:val="en-US"/>
        </w:rPr>
        <w:t>is dependent upon</w:t>
      </w:r>
      <w:r w:rsidR="00B31F6F" w:rsidRPr="00DA39EA">
        <w:rPr>
          <w:rFonts w:asciiTheme="majorHAnsi" w:hAnsiTheme="majorHAnsi" w:cstheme="majorHAnsi"/>
          <w:sz w:val="19"/>
          <w:szCs w:val="19"/>
          <w:lang w:val="en-US"/>
        </w:rPr>
        <w:t xml:space="preserve"> the support from </w:t>
      </w:r>
      <w:r w:rsidR="00404B05">
        <w:rPr>
          <w:rFonts w:asciiTheme="majorHAnsi" w:hAnsiTheme="majorHAnsi" w:cstheme="majorHAnsi"/>
          <w:sz w:val="19"/>
          <w:szCs w:val="19"/>
          <w:lang w:val="en-US"/>
        </w:rPr>
        <w:t>the G</w:t>
      </w:r>
      <w:r w:rsidR="00B31F6F" w:rsidRPr="00DA39EA">
        <w:rPr>
          <w:rFonts w:asciiTheme="majorHAnsi" w:hAnsiTheme="majorHAnsi" w:cstheme="majorHAnsi"/>
          <w:sz w:val="19"/>
          <w:szCs w:val="19"/>
          <w:lang w:val="en-US"/>
        </w:rPr>
        <w:t>overnment of Thailand and the Government of Republic of the Union of Myanmar to promote the concession projects in the future as well as the investment from new investors who are interested in each concession project.</w:t>
      </w:r>
      <w:r w:rsidR="00A55E42">
        <w:rPr>
          <w:rFonts w:asciiTheme="majorHAnsi" w:hAnsiTheme="majorHAnsi" w:cstheme="majorHAnsi"/>
          <w:sz w:val="19"/>
          <w:szCs w:val="19"/>
          <w:lang w:val="en-US"/>
        </w:rPr>
        <w:t xml:space="preserve"> </w:t>
      </w:r>
      <w:r w:rsidRPr="00980FE3">
        <w:rPr>
          <w:rFonts w:asciiTheme="majorHAnsi" w:hAnsiTheme="majorHAnsi" w:cstheme="majorHAnsi"/>
          <w:sz w:val="19"/>
          <w:szCs w:val="19"/>
        </w:rPr>
        <w:t>The Group's management is unable to assess the potential impact (if any) on the</w:t>
      </w:r>
      <w:r w:rsidR="00F43F41">
        <w:rPr>
          <w:rFonts w:asciiTheme="majorHAnsi" w:hAnsiTheme="majorHAnsi" w:cstheme="majorHAnsi"/>
          <w:sz w:val="19"/>
          <w:szCs w:val="19"/>
        </w:rPr>
        <w:t xml:space="preserve"> realizable value of</w:t>
      </w:r>
      <w:r w:rsidRPr="00980FE3">
        <w:rPr>
          <w:rFonts w:asciiTheme="majorHAnsi" w:hAnsiTheme="majorHAnsi" w:cstheme="majorHAnsi"/>
          <w:sz w:val="19"/>
          <w:szCs w:val="19"/>
        </w:rPr>
        <w:t xml:space="preserve"> the</w:t>
      </w:r>
      <w:r w:rsidR="00F43F41">
        <w:rPr>
          <w:rFonts w:asciiTheme="majorHAnsi" w:hAnsiTheme="majorHAnsi" w:cstheme="majorHAnsi"/>
          <w:sz w:val="19"/>
          <w:szCs w:val="19"/>
        </w:rPr>
        <w:t xml:space="preserve"> </w:t>
      </w:r>
      <w:r w:rsidR="00976490" w:rsidRPr="00DA39EA">
        <w:rPr>
          <w:rFonts w:asciiTheme="majorHAnsi" w:hAnsiTheme="majorHAnsi" w:cstheme="majorHAnsi"/>
          <w:sz w:val="19"/>
          <w:szCs w:val="19"/>
          <w:lang w:val="en-US"/>
        </w:rPr>
        <w:t xml:space="preserve">development costs for concession right </w:t>
      </w:r>
      <w:r w:rsidR="00F075A0">
        <w:rPr>
          <w:rFonts w:asciiTheme="majorHAnsi" w:hAnsiTheme="majorHAnsi" w:cstheme="majorHAnsi"/>
          <w:sz w:val="19"/>
          <w:szCs w:val="19"/>
          <w:lang w:val="en-US"/>
        </w:rPr>
        <w:t xml:space="preserve">- </w:t>
      </w:r>
      <w:proofErr w:type="spellStart"/>
      <w:r w:rsidR="00976490" w:rsidRPr="00DA39EA">
        <w:rPr>
          <w:rFonts w:asciiTheme="majorHAnsi" w:hAnsiTheme="majorHAnsi" w:cstheme="majorHAnsi"/>
          <w:sz w:val="19"/>
          <w:szCs w:val="19"/>
          <w:lang w:val="en-US"/>
        </w:rPr>
        <w:t>Dawei</w:t>
      </w:r>
      <w:proofErr w:type="spellEnd"/>
      <w:r w:rsidR="00976490" w:rsidRPr="00DA39EA">
        <w:rPr>
          <w:rFonts w:asciiTheme="majorHAnsi" w:hAnsiTheme="majorHAnsi" w:cstheme="majorHAnsi"/>
          <w:sz w:val="19"/>
          <w:szCs w:val="19"/>
          <w:lang w:val="en-US"/>
        </w:rPr>
        <w:t xml:space="preserve"> Project</w:t>
      </w:r>
      <w:r w:rsidR="00ED0CF5">
        <w:rPr>
          <w:rFonts w:asciiTheme="majorHAnsi" w:hAnsiTheme="majorHAnsi" w:cstheme="majorHAnsi"/>
          <w:sz w:val="19"/>
          <w:szCs w:val="19"/>
        </w:rPr>
        <w:t xml:space="preserve"> w</w:t>
      </w:r>
      <w:r w:rsidRPr="00980FE3">
        <w:rPr>
          <w:rFonts w:asciiTheme="majorHAnsi" w:hAnsiTheme="majorHAnsi" w:cstheme="majorHAnsi"/>
          <w:sz w:val="19"/>
          <w:szCs w:val="19"/>
        </w:rPr>
        <w:t xml:space="preserve">hether the </w:t>
      </w:r>
      <w:r w:rsidR="00276382">
        <w:rPr>
          <w:rFonts w:asciiTheme="majorHAnsi" w:hAnsiTheme="majorHAnsi" w:cstheme="majorHAnsi"/>
          <w:sz w:val="19"/>
          <w:szCs w:val="19"/>
        </w:rPr>
        <w:t xml:space="preserve">reimbursement </w:t>
      </w:r>
      <w:r w:rsidRPr="00980FE3">
        <w:rPr>
          <w:rFonts w:asciiTheme="majorHAnsi" w:hAnsiTheme="majorHAnsi" w:cstheme="majorHAnsi"/>
          <w:sz w:val="19"/>
          <w:szCs w:val="19"/>
        </w:rPr>
        <w:t>amount will be higher or lower than the project development cost</w:t>
      </w:r>
      <w:r w:rsidR="00276382">
        <w:rPr>
          <w:rFonts w:asciiTheme="majorHAnsi" w:hAnsiTheme="majorHAnsi" w:cstheme="majorHAnsi"/>
          <w:sz w:val="19"/>
          <w:szCs w:val="19"/>
        </w:rPr>
        <w:t xml:space="preserve">s </w:t>
      </w:r>
      <w:r w:rsidRPr="00980FE3">
        <w:rPr>
          <w:rFonts w:asciiTheme="majorHAnsi" w:hAnsiTheme="majorHAnsi" w:cstheme="majorHAnsi"/>
          <w:sz w:val="19"/>
          <w:szCs w:val="19"/>
        </w:rPr>
        <w:t xml:space="preserve">recorded by the Group in the financial statements or not. </w:t>
      </w:r>
      <w:r w:rsidR="00F36C4C">
        <w:rPr>
          <w:rFonts w:asciiTheme="majorHAnsi" w:hAnsiTheme="majorHAnsi" w:cstheme="majorHAnsi"/>
          <w:sz w:val="19"/>
          <w:szCs w:val="19"/>
        </w:rPr>
        <w:t xml:space="preserve">In addition, </w:t>
      </w:r>
      <w:r w:rsidR="00DB0E17">
        <w:rPr>
          <w:rFonts w:asciiTheme="majorHAnsi" w:hAnsiTheme="majorHAnsi" w:cstheme="majorHAnsi"/>
          <w:sz w:val="19"/>
          <w:szCs w:val="19"/>
        </w:rPr>
        <w:t>the potential impact from the Notice of Termination for all concession agreement</w:t>
      </w:r>
      <w:r w:rsidR="000C0A20">
        <w:rPr>
          <w:rFonts w:asciiTheme="majorHAnsi" w:hAnsiTheme="majorHAnsi" w:cstheme="majorHAnsi"/>
          <w:sz w:val="19"/>
          <w:szCs w:val="19"/>
        </w:rPr>
        <w:t>s</w:t>
      </w:r>
      <w:r w:rsidR="00DB0E17">
        <w:rPr>
          <w:rFonts w:asciiTheme="majorHAnsi" w:hAnsiTheme="majorHAnsi" w:cstheme="majorHAnsi"/>
          <w:sz w:val="19"/>
          <w:szCs w:val="19"/>
        </w:rPr>
        <w:t xml:space="preserve"> </w:t>
      </w:r>
      <w:r w:rsidR="000C0A20">
        <w:rPr>
          <w:rFonts w:asciiTheme="majorHAnsi" w:hAnsiTheme="majorHAnsi" w:cstheme="majorHAnsi"/>
          <w:sz w:val="19"/>
          <w:szCs w:val="19"/>
        </w:rPr>
        <w:t xml:space="preserve">of </w:t>
      </w:r>
      <w:r w:rsidR="00376FA1">
        <w:rPr>
          <w:rFonts w:asciiTheme="majorHAnsi" w:hAnsiTheme="majorHAnsi" w:cstheme="majorHAnsi"/>
          <w:sz w:val="19"/>
          <w:szCs w:val="19"/>
        </w:rPr>
        <w:t xml:space="preserve">the </w:t>
      </w:r>
      <w:r w:rsidR="000C0A20">
        <w:rPr>
          <w:rFonts w:asciiTheme="majorHAnsi" w:hAnsiTheme="majorHAnsi" w:cstheme="majorHAnsi"/>
          <w:sz w:val="19"/>
          <w:szCs w:val="19"/>
        </w:rPr>
        <w:t>DSEZ</w:t>
      </w:r>
      <w:r w:rsidR="00DB0E17">
        <w:rPr>
          <w:rFonts w:asciiTheme="majorHAnsi" w:hAnsiTheme="majorHAnsi" w:cstheme="majorHAnsi"/>
          <w:sz w:val="19"/>
          <w:szCs w:val="19"/>
        </w:rPr>
        <w:t xml:space="preserve"> Initial Phas</w:t>
      </w:r>
      <w:r w:rsidR="000C0A20">
        <w:rPr>
          <w:rFonts w:asciiTheme="majorHAnsi" w:hAnsiTheme="majorHAnsi" w:cstheme="majorHAnsi"/>
          <w:sz w:val="19"/>
          <w:szCs w:val="19"/>
        </w:rPr>
        <w:t xml:space="preserve">e </w:t>
      </w:r>
      <w:r w:rsidR="00D56816">
        <w:rPr>
          <w:rFonts w:asciiTheme="majorHAnsi" w:hAnsiTheme="majorHAnsi" w:cstheme="majorHAnsi"/>
          <w:sz w:val="19"/>
          <w:szCs w:val="19"/>
        </w:rPr>
        <w:t xml:space="preserve">which </w:t>
      </w:r>
      <w:r w:rsidR="009232B8">
        <w:rPr>
          <w:rFonts w:asciiTheme="majorHAnsi" w:hAnsiTheme="majorHAnsi" w:cstheme="majorHAnsi"/>
          <w:sz w:val="19"/>
          <w:szCs w:val="19"/>
        </w:rPr>
        <w:t xml:space="preserve">is </w:t>
      </w:r>
      <w:r w:rsidR="00D56816">
        <w:rPr>
          <w:rFonts w:asciiTheme="majorHAnsi" w:hAnsiTheme="majorHAnsi" w:cstheme="majorHAnsi"/>
          <w:sz w:val="19"/>
          <w:szCs w:val="19"/>
        </w:rPr>
        <w:t xml:space="preserve">under </w:t>
      </w:r>
      <w:r w:rsidRPr="00980FE3">
        <w:rPr>
          <w:rFonts w:asciiTheme="majorHAnsi" w:hAnsiTheme="majorHAnsi" w:cstheme="majorHAnsi"/>
          <w:sz w:val="19"/>
          <w:szCs w:val="19"/>
        </w:rPr>
        <w:t xml:space="preserve">negotiation with the </w:t>
      </w:r>
      <w:r w:rsidR="00D56816">
        <w:rPr>
          <w:rFonts w:asciiTheme="majorHAnsi" w:hAnsiTheme="majorHAnsi" w:cstheme="majorHAnsi"/>
          <w:sz w:val="19"/>
          <w:szCs w:val="19"/>
        </w:rPr>
        <w:t>DSEZ MC and</w:t>
      </w:r>
      <w:r w:rsidRPr="00980FE3">
        <w:rPr>
          <w:rFonts w:asciiTheme="majorHAnsi" w:hAnsiTheme="majorHAnsi" w:cstheme="majorHAnsi"/>
          <w:sz w:val="19"/>
          <w:szCs w:val="19"/>
        </w:rPr>
        <w:t xml:space="preserve"> cannot be </w:t>
      </w:r>
      <w:r w:rsidR="00F07963" w:rsidRPr="00980FE3">
        <w:rPr>
          <w:rFonts w:asciiTheme="majorHAnsi" w:hAnsiTheme="majorHAnsi" w:cstheme="majorHAnsi"/>
          <w:sz w:val="19"/>
          <w:szCs w:val="19"/>
        </w:rPr>
        <w:t>presen</w:t>
      </w:r>
      <w:r w:rsidR="00194ECA">
        <w:rPr>
          <w:rFonts w:asciiTheme="majorHAnsi" w:hAnsiTheme="majorHAnsi" w:cstheme="majorHAnsi"/>
          <w:sz w:val="19"/>
          <w:szCs w:val="19"/>
        </w:rPr>
        <w:t>tly</w:t>
      </w:r>
      <w:r w:rsidR="00194ECA">
        <w:rPr>
          <w:rFonts w:asciiTheme="majorHAnsi" w:hAnsiTheme="majorHAnsi" w:cs="Browallia New"/>
          <w:sz w:val="19"/>
          <w:szCs w:val="24"/>
          <w:lang w:val="en-US" w:bidi="th-TH"/>
        </w:rPr>
        <w:t xml:space="preserve"> </w:t>
      </w:r>
      <w:r w:rsidRPr="00980FE3">
        <w:rPr>
          <w:rFonts w:asciiTheme="majorHAnsi" w:hAnsiTheme="majorHAnsi" w:cstheme="majorHAnsi"/>
          <w:sz w:val="19"/>
          <w:szCs w:val="19"/>
        </w:rPr>
        <w:t>concluded</w:t>
      </w:r>
      <w:r w:rsidR="00B531B9">
        <w:rPr>
          <w:rFonts w:asciiTheme="majorHAnsi" w:hAnsiTheme="majorHAnsi" w:cstheme="majorHAnsi"/>
          <w:sz w:val="19"/>
          <w:szCs w:val="19"/>
        </w:rPr>
        <w:t xml:space="preserve">. </w:t>
      </w:r>
      <w:r w:rsidRPr="00980FE3">
        <w:rPr>
          <w:rFonts w:asciiTheme="majorHAnsi" w:hAnsiTheme="majorHAnsi" w:cstheme="majorHAnsi"/>
          <w:sz w:val="19"/>
          <w:szCs w:val="19"/>
        </w:rPr>
        <w:t xml:space="preserve">Moreover, the current political </w:t>
      </w:r>
      <w:r w:rsidR="007F0217">
        <w:rPr>
          <w:rFonts w:asciiTheme="majorHAnsi" w:hAnsiTheme="majorHAnsi" w:cstheme="majorHAnsi"/>
          <w:sz w:val="19"/>
          <w:szCs w:val="19"/>
        </w:rPr>
        <w:t xml:space="preserve">unrest </w:t>
      </w:r>
      <w:r w:rsidRPr="00980FE3">
        <w:rPr>
          <w:rFonts w:asciiTheme="majorHAnsi" w:hAnsiTheme="majorHAnsi" w:cstheme="majorHAnsi"/>
          <w:sz w:val="19"/>
          <w:szCs w:val="19"/>
        </w:rPr>
        <w:t>and economic situation in the Republic of the Union of Myanmar</w:t>
      </w:r>
      <w:r w:rsidR="00BB74AF">
        <w:rPr>
          <w:rFonts w:asciiTheme="majorHAnsi" w:hAnsiTheme="majorHAnsi" w:cstheme="majorHAnsi"/>
          <w:sz w:val="19"/>
          <w:szCs w:val="19"/>
        </w:rPr>
        <w:t xml:space="preserve"> which </w:t>
      </w:r>
      <w:r w:rsidR="001123D6">
        <w:rPr>
          <w:rFonts w:asciiTheme="majorHAnsi" w:hAnsiTheme="majorHAnsi" w:cstheme="majorHAnsi"/>
          <w:sz w:val="19"/>
          <w:szCs w:val="19"/>
        </w:rPr>
        <w:t xml:space="preserve">still present the </w:t>
      </w:r>
      <w:r w:rsidRPr="00980FE3">
        <w:rPr>
          <w:rFonts w:asciiTheme="majorHAnsi" w:hAnsiTheme="majorHAnsi" w:cstheme="majorHAnsi"/>
          <w:sz w:val="19"/>
          <w:szCs w:val="19"/>
        </w:rPr>
        <w:t xml:space="preserve">uncertainty that may </w:t>
      </w:r>
      <w:r w:rsidR="001603DA">
        <w:rPr>
          <w:rFonts w:asciiTheme="majorHAnsi" w:hAnsiTheme="majorHAnsi" w:cstheme="majorHAnsi"/>
          <w:sz w:val="19"/>
          <w:szCs w:val="19"/>
        </w:rPr>
        <w:t>a</w:t>
      </w:r>
      <w:r w:rsidRPr="00980FE3">
        <w:rPr>
          <w:rFonts w:asciiTheme="majorHAnsi" w:hAnsiTheme="majorHAnsi" w:cstheme="majorHAnsi"/>
          <w:sz w:val="19"/>
          <w:szCs w:val="19"/>
        </w:rPr>
        <w:t xml:space="preserve">ffect </w:t>
      </w:r>
      <w:r w:rsidR="001603DA">
        <w:rPr>
          <w:rFonts w:asciiTheme="majorHAnsi" w:hAnsiTheme="majorHAnsi" w:cstheme="majorHAnsi"/>
          <w:sz w:val="19"/>
          <w:szCs w:val="19"/>
        </w:rPr>
        <w:t xml:space="preserve">to </w:t>
      </w:r>
      <w:r w:rsidRPr="00980FE3">
        <w:rPr>
          <w:rFonts w:asciiTheme="majorHAnsi" w:hAnsiTheme="majorHAnsi" w:cstheme="majorHAnsi"/>
          <w:sz w:val="19"/>
          <w:szCs w:val="19"/>
        </w:rPr>
        <w:t xml:space="preserve">the development of such projects of the Group in the future. Therefore, I am unable to assess the potential impact (if any) on the </w:t>
      </w:r>
      <w:r w:rsidR="007D23E2">
        <w:rPr>
          <w:rFonts w:asciiTheme="majorHAnsi" w:hAnsiTheme="majorHAnsi" w:cstheme="majorHAnsi"/>
          <w:sz w:val="19"/>
          <w:szCs w:val="19"/>
        </w:rPr>
        <w:t>amount</w:t>
      </w:r>
      <w:r w:rsidRPr="00980FE3">
        <w:rPr>
          <w:rFonts w:asciiTheme="majorHAnsi" w:hAnsiTheme="majorHAnsi" w:cstheme="majorHAnsi"/>
          <w:sz w:val="19"/>
          <w:szCs w:val="19"/>
        </w:rPr>
        <w:t xml:space="preserve"> of </w:t>
      </w:r>
      <w:r w:rsidR="001603DA">
        <w:rPr>
          <w:rFonts w:asciiTheme="majorHAnsi" w:hAnsiTheme="majorHAnsi" w:cstheme="majorHAnsi"/>
          <w:sz w:val="19"/>
          <w:szCs w:val="19"/>
        </w:rPr>
        <w:t xml:space="preserve">the </w:t>
      </w:r>
      <w:r w:rsidRPr="00980FE3">
        <w:rPr>
          <w:rFonts w:asciiTheme="majorHAnsi" w:hAnsiTheme="majorHAnsi" w:cstheme="majorHAnsi"/>
          <w:sz w:val="19"/>
          <w:szCs w:val="19"/>
        </w:rPr>
        <w:t>development costs for the concession right</w:t>
      </w:r>
      <w:r w:rsidR="00C6627A">
        <w:rPr>
          <w:rFonts w:asciiTheme="majorHAnsi" w:hAnsiTheme="majorHAnsi" w:cstheme="majorHAnsi"/>
          <w:sz w:val="19"/>
          <w:szCs w:val="19"/>
        </w:rPr>
        <w:t xml:space="preserve"> </w:t>
      </w:r>
      <w:r w:rsidRPr="00980FE3">
        <w:rPr>
          <w:rFonts w:asciiTheme="majorHAnsi" w:hAnsiTheme="majorHAnsi" w:cstheme="majorHAnsi"/>
          <w:sz w:val="19"/>
          <w:szCs w:val="19"/>
        </w:rPr>
        <w:t>-</w:t>
      </w:r>
      <w:r w:rsidR="00C6627A">
        <w:rPr>
          <w:rFonts w:asciiTheme="majorHAnsi" w:hAnsiTheme="majorHAnsi" w:cstheme="majorHAnsi"/>
          <w:sz w:val="19"/>
          <w:szCs w:val="19"/>
        </w:rPr>
        <w:t xml:space="preserve"> </w:t>
      </w:r>
      <w:proofErr w:type="spellStart"/>
      <w:r w:rsidRPr="00980FE3">
        <w:rPr>
          <w:rFonts w:asciiTheme="majorHAnsi" w:hAnsiTheme="majorHAnsi" w:cstheme="majorHAnsi"/>
          <w:sz w:val="19"/>
          <w:szCs w:val="19"/>
        </w:rPr>
        <w:t>Dawei</w:t>
      </w:r>
      <w:proofErr w:type="spellEnd"/>
      <w:r w:rsidRPr="00980FE3">
        <w:rPr>
          <w:rFonts w:asciiTheme="majorHAnsi" w:hAnsiTheme="majorHAnsi" w:cstheme="majorHAnsi"/>
          <w:sz w:val="19"/>
          <w:szCs w:val="19"/>
        </w:rPr>
        <w:t xml:space="preserve"> Project</w:t>
      </w:r>
      <w:r w:rsidR="001603DA">
        <w:rPr>
          <w:rFonts w:asciiTheme="majorHAnsi" w:hAnsiTheme="majorHAnsi" w:cstheme="majorHAnsi"/>
          <w:sz w:val="19"/>
          <w:szCs w:val="19"/>
        </w:rPr>
        <w:t xml:space="preserve"> and</w:t>
      </w:r>
      <w:r w:rsidRPr="00980FE3">
        <w:rPr>
          <w:rFonts w:asciiTheme="majorHAnsi" w:hAnsiTheme="majorHAnsi" w:cstheme="majorHAnsi"/>
          <w:sz w:val="19"/>
          <w:szCs w:val="19"/>
        </w:rPr>
        <w:t xml:space="preserve"> unable to consider the effect it may have on the consolidated and </w:t>
      </w:r>
      <w:r w:rsidR="007E4387">
        <w:rPr>
          <w:rFonts w:asciiTheme="majorHAnsi" w:hAnsiTheme="majorHAnsi" w:cstheme="majorHAnsi"/>
          <w:sz w:val="19"/>
          <w:szCs w:val="19"/>
        </w:rPr>
        <w:t xml:space="preserve">separate </w:t>
      </w:r>
      <w:r w:rsidRPr="00980FE3">
        <w:rPr>
          <w:rFonts w:asciiTheme="majorHAnsi" w:hAnsiTheme="majorHAnsi" w:cstheme="majorHAnsi"/>
          <w:sz w:val="19"/>
          <w:szCs w:val="19"/>
        </w:rPr>
        <w:t>financial statements</w:t>
      </w:r>
      <w:r w:rsidR="007E4387">
        <w:rPr>
          <w:rFonts w:asciiTheme="majorHAnsi" w:hAnsiTheme="majorHAnsi" w:cstheme="majorHAnsi"/>
          <w:sz w:val="19"/>
          <w:szCs w:val="19"/>
        </w:rPr>
        <w:t xml:space="preserve"> cause from the</w:t>
      </w:r>
      <w:r w:rsidRPr="00980FE3">
        <w:rPr>
          <w:rFonts w:asciiTheme="majorHAnsi" w:hAnsiTheme="majorHAnsi" w:cstheme="majorHAnsi"/>
          <w:sz w:val="19"/>
          <w:szCs w:val="19"/>
        </w:rPr>
        <w:t xml:space="preserve"> uncertainty and </w:t>
      </w:r>
      <w:r w:rsidR="004313F6">
        <w:rPr>
          <w:rFonts w:asciiTheme="majorHAnsi" w:hAnsiTheme="majorHAnsi" w:cstheme="majorHAnsi"/>
          <w:sz w:val="19"/>
          <w:szCs w:val="19"/>
        </w:rPr>
        <w:t xml:space="preserve">the </w:t>
      </w:r>
      <w:r w:rsidRPr="00980FE3">
        <w:rPr>
          <w:rFonts w:asciiTheme="majorHAnsi" w:hAnsiTheme="majorHAnsi" w:cstheme="majorHAnsi"/>
          <w:sz w:val="19"/>
          <w:szCs w:val="19"/>
        </w:rPr>
        <w:t>limitations of the situation as mentioned</w:t>
      </w:r>
      <w:r w:rsidR="007E4387">
        <w:rPr>
          <w:rFonts w:asciiTheme="majorHAnsi" w:hAnsiTheme="majorHAnsi" w:cstheme="majorHAnsi"/>
          <w:sz w:val="19"/>
          <w:szCs w:val="19"/>
        </w:rPr>
        <w:t xml:space="preserve"> above. </w:t>
      </w:r>
    </w:p>
    <w:p w14:paraId="100814DB" w14:textId="77777777" w:rsidR="00D741BB" w:rsidRPr="00D741BB" w:rsidRDefault="00D741BB" w:rsidP="00D741BB">
      <w:pPr>
        <w:pStyle w:val="ListParagraph"/>
        <w:spacing w:after="0" w:line="360" w:lineRule="auto"/>
        <w:ind w:left="450"/>
        <w:contextualSpacing w:val="0"/>
        <w:jc w:val="thaiDistribute"/>
        <w:rPr>
          <w:rFonts w:asciiTheme="majorHAnsi" w:hAnsiTheme="majorHAnsi" w:cstheme="majorHAnsi"/>
          <w:sz w:val="19"/>
          <w:szCs w:val="19"/>
        </w:rPr>
      </w:pPr>
    </w:p>
    <w:p w14:paraId="40529AE2" w14:textId="452F9653" w:rsidR="009F4A70" w:rsidRDefault="009F4A70">
      <w:pPr>
        <w:spacing w:after="0" w:line="240" w:lineRule="auto"/>
        <w:rPr>
          <w:rFonts w:asciiTheme="majorHAnsi" w:hAnsiTheme="majorHAnsi" w:cstheme="majorHAnsi"/>
          <w:sz w:val="19"/>
          <w:szCs w:val="19"/>
          <w:lang w:val="en-US"/>
        </w:rPr>
      </w:pPr>
    </w:p>
    <w:p w14:paraId="03FF1BF9" w14:textId="3D8648DB" w:rsidR="009C0146" w:rsidRPr="007F5013" w:rsidRDefault="009C0146" w:rsidP="00080377">
      <w:pPr>
        <w:pStyle w:val="ListParagraph"/>
        <w:numPr>
          <w:ilvl w:val="0"/>
          <w:numId w:val="22"/>
        </w:numPr>
        <w:spacing w:after="0" w:line="360" w:lineRule="auto"/>
        <w:ind w:left="426" w:hanging="426"/>
        <w:jc w:val="thaiDistribute"/>
        <w:rPr>
          <w:rFonts w:asciiTheme="majorHAnsi" w:hAnsiTheme="majorHAnsi" w:cstheme="majorHAnsi"/>
          <w:sz w:val="19"/>
          <w:szCs w:val="19"/>
          <w:lang w:val="en-US"/>
        </w:rPr>
      </w:pPr>
      <w:r w:rsidRPr="007F5013">
        <w:rPr>
          <w:rFonts w:asciiTheme="majorHAnsi" w:hAnsiTheme="majorHAnsi" w:cstheme="majorHAnsi"/>
          <w:sz w:val="19"/>
          <w:szCs w:val="19"/>
          <w:lang w:val="en-US"/>
        </w:rPr>
        <w:t xml:space="preserve">As discussed in Note </w:t>
      </w:r>
      <w:r w:rsidR="00FD0C52">
        <w:rPr>
          <w:rFonts w:asciiTheme="majorHAnsi" w:hAnsiTheme="majorHAnsi" w:cstheme="majorHAnsi"/>
          <w:sz w:val="19"/>
          <w:szCs w:val="19"/>
          <w:lang w:val="en-US"/>
        </w:rPr>
        <w:t>1</w:t>
      </w:r>
      <w:r w:rsidR="00F0747E">
        <w:rPr>
          <w:rFonts w:asciiTheme="majorHAnsi" w:hAnsiTheme="majorHAnsi" w:cstheme="majorHAnsi"/>
          <w:sz w:val="19"/>
          <w:szCs w:val="19"/>
          <w:lang w:val="en-US"/>
        </w:rPr>
        <w:t>6</w:t>
      </w:r>
      <w:r w:rsidR="00FD0C52">
        <w:rPr>
          <w:rFonts w:asciiTheme="majorHAnsi" w:hAnsiTheme="majorHAnsi" w:cstheme="majorHAnsi"/>
          <w:sz w:val="19"/>
          <w:szCs w:val="19"/>
          <w:lang w:val="en-US"/>
        </w:rPr>
        <w:t>.3</w:t>
      </w:r>
      <w:r w:rsidRPr="007F5013">
        <w:rPr>
          <w:rFonts w:asciiTheme="majorHAnsi" w:hAnsiTheme="majorHAnsi" w:cstheme="majorHAnsi"/>
          <w:sz w:val="19"/>
          <w:szCs w:val="19"/>
          <w:lang w:val="en-US"/>
        </w:rPr>
        <w:t xml:space="preserve"> to the financial statements, the consolidated</w:t>
      </w:r>
      <w:r>
        <w:rPr>
          <w:rFonts w:asciiTheme="majorHAnsi" w:hAnsiTheme="majorHAnsi" w:cstheme="majorHAnsi"/>
          <w:sz w:val="19"/>
          <w:szCs w:val="19"/>
          <w:lang w:val="en-US"/>
        </w:rPr>
        <w:t xml:space="preserve"> </w:t>
      </w:r>
      <w:r w:rsidRPr="007F5013">
        <w:rPr>
          <w:rFonts w:asciiTheme="majorHAnsi" w:hAnsiTheme="majorHAnsi" w:cstheme="majorHAnsi"/>
          <w:sz w:val="19"/>
          <w:szCs w:val="19"/>
          <w:lang w:val="en-US"/>
        </w:rPr>
        <w:t xml:space="preserve">statement of financial position </w:t>
      </w:r>
      <w:r>
        <w:rPr>
          <w:rFonts w:asciiTheme="majorHAnsi" w:hAnsiTheme="majorHAnsi" w:cstheme="majorHAnsi"/>
          <w:sz w:val="19"/>
          <w:szCs w:val="19"/>
          <w:lang w:val="en-US"/>
        </w:rPr>
        <w:t xml:space="preserve">as </w:t>
      </w:r>
      <w:proofErr w:type="gramStart"/>
      <w:r>
        <w:rPr>
          <w:rFonts w:asciiTheme="majorHAnsi" w:hAnsiTheme="majorHAnsi" w:cstheme="majorHAnsi"/>
          <w:sz w:val="19"/>
          <w:szCs w:val="19"/>
          <w:lang w:val="en-US"/>
        </w:rPr>
        <w:t>at</w:t>
      </w:r>
      <w:proofErr w:type="gramEnd"/>
      <w:r>
        <w:rPr>
          <w:rFonts w:asciiTheme="majorHAnsi" w:hAnsiTheme="majorHAnsi" w:cstheme="majorHAnsi"/>
          <w:sz w:val="19"/>
          <w:szCs w:val="19"/>
          <w:lang w:val="en-US"/>
        </w:rPr>
        <w:t xml:space="preserve"> </w:t>
      </w:r>
      <w:r w:rsidRPr="007F5013">
        <w:rPr>
          <w:rFonts w:asciiTheme="majorHAnsi" w:hAnsiTheme="majorHAnsi" w:cstheme="majorHAnsi"/>
          <w:sz w:val="19"/>
          <w:szCs w:val="19"/>
          <w:lang w:val="en-US"/>
        </w:rPr>
        <w:t>3</w:t>
      </w:r>
      <w:r w:rsidR="00FD0C52">
        <w:rPr>
          <w:rFonts w:asciiTheme="majorHAnsi" w:hAnsiTheme="majorHAnsi" w:cstheme="majorHAnsi"/>
          <w:sz w:val="19"/>
          <w:szCs w:val="19"/>
          <w:lang w:val="en-US"/>
        </w:rPr>
        <w:t>1 December 2020</w:t>
      </w:r>
      <w:r w:rsidRPr="007F5013">
        <w:rPr>
          <w:rFonts w:asciiTheme="majorHAnsi" w:hAnsiTheme="majorHAnsi" w:cstheme="majorHAnsi"/>
          <w:sz w:val="19"/>
          <w:szCs w:val="19"/>
          <w:lang w:val="en-US"/>
        </w:rPr>
        <w:t xml:space="preserve"> included </w:t>
      </w:r>
      <w:r w:rsidRPr="007F5013">
        <w:rPr>
          <w:rFonts w:asciiTheme="majorHAnsi" w:hAnsiTheme="majorHAnsi" w:cstheme="majorHAnsi"/>
          <w:sz w:val="19"/>
          <w:szCs w:val="19"/>
          <w:lang w:val="en-US" w:bidi="th-TH"/>
        </w:rPr>
        <w:t xml:space="preserve">an </w:t>
      </w:r>
      <w:r w:rsidRPr="007F5013">
        <w:rPr>
          <w:rFonts w:asciiTheme="majorHAnsi" w:hAnsiTheme="majorHAnsi" w:cstheme="majorHAnsi"/>
          <w:sz w:val="19"/>
          <w:szCs w:val="19"/>
          <w:lang w:val="en-US"/>
        </w:rPr>
        <w:t xml:space="preserve">investment in joint venture accounted for by the equity method of Baht 179.33 million. Such amount was based on the financial information </w:t>
      </w:r>
      <w:r>
        <w:rPr>
          <w:rFonts w:asciiTheme="majorHAnsi" w:hAnsiTheme="majorHAnsi" w:cstheme="majorHAnsi"/>
          <w:sz w:val="19"/>
          <w:szCs w:val="19"/>
          <w:lang w:val="en-US"/>
        </w:rPr>
        <w:t xml:space="preserve">of a joint venture as of 30 September 2019 which had been reviewed by the joint venture’s auditor. The joint venture’s management was unable to </w:t>
      </w:r>
      <w:r w:rsidRPr="007F5013">
        <w:rPr>
          <w:rFonts w:asciiTheme="majorHAnsi" w:hAnsiTheme="majorHAnsi" w:cstheme="majorHAnsi"/>
          <w:sz w:val="19"/>
          <w:szCs w:val="19"/>
          <w:lang w:val="en-US"/>
        </w:rPr>
        <w:t>prepare</w:t>
      </w:r>
      <w:r>
        <w:rPr>
          <w:rFonts w:asciiTheme="majorHAnsi" w:hAnsiTheme="majorHAnsi" w:cstheme="majorHAnsi"/>
          <w:sz w:val="19"/>
          <w:szCs w:val="19"/>
          <w:lang w:val="en-US"/>
        </w:rPr>
        <w:t xml:space="preserve"> the financial information up to date</w:t>
      </w:r>
      <w:r w:rsidRPr="007F5013">
        <w:rPr>
          <w:rFonts w:asciiTheme="majorHAnsi" w:hAnsiTheme="majorHAnsi" w:cstheme="majorHAnsi"/>
          <w:sz w:val="19"/>
          <w:szCs w:val="19"/>
          <w:lang w:val="en-US"/>
        </w:rPr>
        <w:t xml:space="preserve"> since the joint venture and the project owner have </w:t>
      </w:r>
      <w:r>
        <w:rPr>
          <w:rFonts w:asciiTheme="majorHAnsi" w:hAnsiTheme="majorHAnsi" w:cstheme="majorHAnsi"/>
          <w:sz w:val="19"/>
          <w:szCs w:val="19"/>
          <w:lang w:val="en-US"/>
        </w:rPr>
        <w:t xml:space="preserve">been in </w:t>
      </w:r>
      <w:r w:rsidRPr="007F5013">
        <w:rPr>
          <w:rFonts w:asciiTheme="majorHAnsi" w:hAnsiTheme="majorHAnsi" w:cstheme="majorHAnsi"/>
          <w:sz w:val="19"/>
          <w:szCs w:val="19"/>
          <w:lang w:val="en-US"/>
        </w:rPr>
        <w:t xml:space="preserve">dispute regarding the termination of construction contract and are in process of negotiation for the realizable value of assets, netted of current obligation in liabilities and contingent liabilities. The joint venture’s management is unable to assess the potential impact (if any) from the termination of such construction contract which an outcome cannot presently be concluded. </w:t>
      </w:r>
      <w:r w:rsidR="00F86609">
        <w:rPr>
          <w:rFonts w:asciiTheme="majorHAnsi" w:hAnsiTheme="majorHAnsi" w:cstheme="majorHAnsi"/>
          <w:sz w:val="19"/>
          <w:szCs w:val="19"/>
          <w:lang w:val="en-US"/>
        </w:rPr>
        <w:t>I</w:t>
      </w:r>
      <w:r w:rsidR="00EB5782">
        <w:rPr>
          <w:rFonts w:asciiTheme="majorHAnsi" w:hAnsiTheme="majorHAnsi" w:cstheme="majorHAnsi"/>
          <w:sz w:val="19"/>
          <w:szCs w:val="19"/>
          <w:lang w:val="en-US"/>
        </w:rPr>
        <w:t xml:space="preserve"> </w:t>
      </w:r>
      <w:r w:rsidR="009A6A92">
        <w:rPr>
          <w:rFonts w:asciiTheme="majorHAnsi" w:hAnsiTheme="majorHAnsi" w:cstheme="majorHAnsi"/>
          <w:sz w:val="19"/>
          <w:szCs w:val="19"/>
          <w:lang w:val="en-US"/>
        </w:rPr>
        <w:t>am unable to</w:t>
      </w:r>
      <w:r w:rsidR="00EB5782">
        <w:rPr>
          <w:rFonts w:asciiTheme="majorHAnsi" w:hAnsiTheme="majorHAnsi" w:cstheme="majorHAnsi"/>
          <w:sz w:val="19"/>
          <w:szCs w:val="19"/>
          <w:lang w:val="en-US"/>
        </w:rPr>
        <w:t xml:space="preserve"> assess the potential impact</w:t>
      </w:r>
      <w:r w:rsidR="00A66500">
        <w:rPr>
          <w:rFonts w:asciiTheme="majorHAnsi" w:hAnsiTheme="majorHAnsi" w:cstheme="majorHAnsi"/>
          <w:sz w:val="19"/>
          <w:szCs w:val="19"/>
          <w:lang w:val="en-US"/>
        </w:rPr>
        <w:t xml:space="preserve"> that</w:t>
      </w:r>
      <w:r w:rsidR="00EB5782">
        <w:rPr>
          <w:rFonts w:asciiTheme="majorHAnsi" w:hAnsiTheme="majorHAnsi" w:cstheme="majorHAnsi"/>
          <w:sz w:val="19"/>
          <w:szCs w:val="19"/>
          <w:lang w:val="en-US"/>
        </w:rPr>
        <w:t xml:space="preserve"> may need to adjust</w:t>
      </w:r>
      <w:r w:rsidR="00172429">
        <w:rPr>
          <w:rFonts w:asciiTheme="majorHAnsi" w:hAnsiTheme="majorHAnsi" w:cstheme="majorHAnsi"/>
          <w:sz w:val="19"/>
          <w:szCs w:val="19"/>
          <w:lang w:val="en-US"/>
        </w:rPr>
        <w:t xml:space="preserve"> </w:t>
      </w:r>
      <w:r w:rsidR="00A66500">
        <w:rPr>
          <w:rFonts w:asciiTheme="majorHAnsi" w:hAnsiTheme="majorHAnsi" w:cstheme="majorHAnsi"/>
          <w:sz w:val="19"/>
          <w:szCs w:val="19"/>
          <w:lang w:val="en-US"/>
        </w:rPr>
        <w:t xml:space="preserve">the </w:t>
      </w:r>
      <w:r w:rsidR="001B6F8D">
        <w:rPr>
          <w:rFonts w:asciiTheme="majorHAnsi" w:hAnsiTheme="majorHAnsi" w:cstheme="majorHAnsi"/>
          <w:sz w:val="19"/>
          <w:szCs w:val="19"/>
          <w:lang w:val="en-US"/>
        </w:rPr>
        <w:t xml:space="preserve">accounting </w:t>
      </w:r>
      <w:r w:rsidR="00A66500">
        <w:rPr>
          <w:rFonts w:asciiTheme="majorHAnsi" w:hAnsiTheme="majorHAnsi" w:cstheme="majorHAnsi"/>
          <w:sz w:val="19"/>
          <w:szCs w:val="19"/>
          <w:lang w:val="en-US"/>
        </w:rPr>
        <w:t>transaction</w:t>
      </w:r>
      <w:r w:rsidR="001B6F8D">
        <w:rPr>
          <w:rFonts w:asciiTheme="majorHAnsi" w:hAnsiTheme="majorHAnsi" w:cstheme="majorHAnsi"/>
          <w:sz w:val="19"/>
          <w:szCs w:val="19"/>
          <w:lang w:val="en-US"/>
        </w:rPr>
        <w:t>s</w:t>
      </w:r>
      <w:r w:rsidR="00A66500">
        <w:rPr>
          <w:rFonts w:asciiTheme="majorHAnsi" w:hAnsiTheme="majorHAnsi" w:cstheme="majorHAnsi"/>
          <w:sz w:val="19"/>
          <w:szCs w:val="19"/>
          <w:lang w:val="en-US"/>
        </w:rPr>
        <w:t xml:space="preserve"> rel</w:t>
      </w:r>
      <w:r w:rsidR="00596583">
        <w:rPr>
          <w:rFonts w:asciiTheme="majorHAnsi" w:hAnsiTheme="majorHAnsi" w:cstheme="majorHAnsi"/>
          <w:sz w:val="19"/>
          <w:szCs w:val="19"/>
          <w:lang w:val="en-US"/>
        </w:rPr>
        <w:t>evant</w:t>
      </w:r>
      <w:r w:rsidR="00A66500">
        <w:rPr>
          <w:rFonts w:asciiTheme="majorHAnsi" w:hAnsiTheme="majorHAnsi" w:cstheme="majorHAnsi"/>
          <w:sz w:val="19"/>
          <w:szCs w:val="19"/>
          <w:lang w:val="en-US"/>
        </w:rPr>
        <w:t xml:space="preserve"> </w:t>
      </w:r>
      <w:r w:rsidR="005F6A2F">
        <w:rPr>
          <w:rFonts w:asciiTheme="majorHAnsi" w:hAnsiTheme="majorHAnsi" w:cstheme="majorHAnsi"/>
          <w:sz w:val="19"/>
          <w:szCs w:val="19"/>
          <w:lang w:val="en-US"/>
        </w:rPr>
        <w:t xml:space="preserve">to the accounted for by equity method in such joint venture. </w:t>
      </w:r>
      <w:r w:rsidR="00172429">
        <w:rPr>
          <w:rFonts w:asciiTheme="majorHAnsi" w:hAnsiTheme="majorHAnsi" w:cstheme="majorHAnsi"/>
          <w:sz w:val="19"/>
          <w:szCs w:val="19"/>
          <w:lang w:val="en-US"/>
        </w:rPr>
        <w:t xml:space="preserve"> </w:t>
      </w:r>
    </w:p>
    <w:p w14:paraId="13F64C1A" w14:textId="0779E059" w:rsidR="009C0146" w:rsidRDefault="009C0146" w:rsidP="009C0146">
      <w:pPr>
        <w:spacing w:after="0" w:line="360" w:lineRule="auto"/>
        <w:jc w:val="thaiDistribute"/>
        <w:rPr>
          <w:rFonts w:asciiTheme="majorHAnsi" w:hAnsiTheme="majorHAnsi" w:cstheme="majorHAnsi"/>
          <w:sz w:val="19"/>
          <w:szCs w:val="19"/>
          <w:lang w:val="en-US"/>
        </w:rPr>
      </w:pPr>
    </w:p>
    <w:p w14:paraId="69A0660F" w14:textId="7DAE5A80" w:rsidR="001B0800" w:rsidRDefault="001B0800" w:rsidP="009C0146">
      <w:pPr>
        <w:spacing w:after="0" w:line="360" w:lineRule="auto"/>
        <w:jc w:val="thaiDistribute"/>
        <w:rPr>
          <w:rFonts w:asciiTheme="majorHAnsi" w:hAnsiTheme="majorHAnsi" w:cstheme="majorHAnsi"/>
          <w:sz w:val="19"/>
          <w:szCs w:val="19"/>
          <w:lang w:val="en-US"/>
        </w:rPr>
      </w:pPr>
    </w:p>
    <w:p w14:paraId="24D2E93F" w14:textId="695249DF" w:rsidR="001B0800" w:rsidRDefault="001B0800" w:rsidP="009C0146">
      <w:pPr>
        <w:spacing w:after="0" w:line="360" w:lineRule="auto"/>
        <w:jc w:val="thaiDistribute"/>
        <w:rPr>
          <w:rFonts w:asciiTheme="majorHAnsi" w:hAnsiTheme="majorHAnsi" w:cstheme="majorHAnsi"/>
          <w:sz w:val="19"/>
          <w:szCs w:val="19"/>
          <w:lang w:val="en-US"/>
        </w:rPr>
      </w:pPr>
    </w:p>
    <w:p w14:paraId="14E8DE89" w14:textId="44ADDE2C" w:rsidR="00514B59" w:rsidRDefault="00514B59" w:rsidP="009C0146">
      <w:pPr>
        <w:spacing w:after="0" w:line="360" w:lineRule="auto"/>
        <w:jc w:val="thaiDistribute"/>
        <w:rPr>
          <w:rFonts w:asciiTheme="majorHAnsi" w:hAnsiTheme="majorHAnsi" w:cstheme="majorHAnsi"/>
          <w:sz w:val="19"/>
          <w:szCs w:val="19"/>
          <w:lang w:val="en-US"/>
        </w:rPr>
      </w:pPr>
    </w:p>
    <w:p w14:paraId="5D3124DC" w14:textId="415FF4D2" w:rsidR="00514B59" w:rsidRDefault="00514B59" w:rsidP="009C0146">
      <w:pPr>
        <w:spacing w:after="0" w:line="360" w:lineRule="auto"/>
        <w:jc w:val="thaiDistribute"/>
        <w:rPr>
          <w:rFonts w:asciiTheme="majorHAnsi" w:hAnsiTheme="majorHAnsi" w:cstheme="majorHAnsi"/>
          <w:sz w:val="19"/>
          <w:szCs w:val="19"/>
          <w:lang w:val="en-US"/>
        </w:rPr>
      </w:pPr>
    </w:p>
    <w:p w14:paraId="19400185" w14:textId="47870E01" w:rsidR="00514B59" w:rsidRDefault="00514B59" w:rsidP="009C0146">
      <w:pPr>
        <w:spacing w:after="0" w:line="360" w:lineRule="auto"/>
        <w:jc w:val="thaiDistribute"/>
        <w:rPr>
          <w:rFonts w:asciiTheme="majorHAnsi" w:hAnsiTheme="majorHAnsi" w:cstheme="majorHAnsi"/>
          <w:sz w:val="19"/>
          <w:szCs w:val="19"/>
          <w:lang w:val="en-US"/>
        </w:rPr>
      </w:pPr>
    </w:p>
    <w:p w14:paraId="2331092B" w14:textId="2B397111" w:rsidR="00514B59" w:rsidRDefault="00514B59" w:rsidP="009C0146">
      <w:pPr>
        <w:spacing w:after="0" w:line="360" w:lineRule="auto"/>
        <w:jc w:val="thaiDistribute"/>
        <w:rPr>
          <w:rFonts w:asciiTheme="majorHAnsi" w:hAnsiTheme="majorHAnsi" w:cstheme="majorHAnsi"/>
          <w:sz w:val="19"/>
          <w:szCs w:val="19"/>
          <w:lang w:val="en-US"/>
        </w:rPr>
      </w:pPr>
    </w:p>
    <w:p w14:paraId="55B366BA" w14:textId="77777777" w:rsidR="00514B59" w:rsidRDefault="00514B59" w:rsidP="009C0146">
      <w:pPr>
        <w:spacing w:after="0" w:line="360" w:lineRule="auto"/>
        <w:jc w:val="thaiDistribute"/>
        <w:rPr>
          <w:rFonts w:asciiTheme="majorHAnsi" w:hAnsiTheme="majorHAnsi" w:cstheme="majorHAnsi"/>
          <w:sz w:val="19"/>
          <w:szCs w:val="19"/>
          <w:lang w:val="en-US"/>
        </w:rPr>
      </w:pPr>
    </w:p>
    <w:p w14:paraId="505265EB" w14:textId="041CCE5A" w:rsidR="001B0800" w:rsidRDefault="001B0800" w:rsidP="009C0146">
      <w:pPr>
        <w:spacing w:after="0" w:line="360" w:lineRule="auto"/>
        <w:jc w:val="thaiDistribute"/>
        <w:rPr>
          <w:rFonts w:asciiTheme="majorHAnsi" w:hAnsiTheme="majorHAnsi" w:cstheme="majorHAnsi"/>
          <w:sz w:val="19"/>
          <w:szCs w:val="19"/>
          <w:lang w:val="en-US"/>
        </w:rPr>
      </w:pPr>
    </w:p>
    <w:p w14:paraId="60250E56" w14:textId="77777777" w:rsidR="001B0800" w:rsidRDefault="001B0800" w:rsidP="009C0146">
      <w:pPr>
        <w:spacing w:after="0" w:line="360" w:lineRule="auto"/>
        <w:jc w:val="thaiDistribute"/>
        <w:rPr>
          <w:rFonts w:asciiTheme="majorHAnsi" w:hAnsiTheme="majorHAnsi" w:cstheme="majorHAnsi"/>
          <w:sz w:val="19"/>
          <w:szCs w:val="19"/>
          <w:lang w:val="en-US"/>
        </w:rPr>
      </w:pPr>
    </w:p>
    <w:p w14:paraId="33527888" w14:textId="5D2F5037" w:rsidR="00CC76E1" w:rsidRPr="00F01F44" w:rsidRDefault="00CC76E1" w:rsidP="00080377">
      <w:pPr>
        <w:pStyle w:val="ListParagraph"/>
        <w:numPr>
          <w:ilvl w:val="0"/>
          <w:numId w:val="22"/>
        </w:numPr>
        <w:spacing w:after="0" w:line="360" w:lineRule="auto"/>
        <w:ind w:left="426" w:hanging="426"/>
        <w:jc w:val="thaiDistribute"/>
        <w:rPr>
          <w:rFonts w:asciiTheme="majorHAnsi" w:hAnsiTheme="majorHAnsi" w:cstheme="majorHAnsi"/>
          <w:sz w:val="19"/>
          <w:szCs w:val="19"/>
          <w:lang w:val="en-US"/>
        </w:rPr>
      </w:pPr>
      <w:r w:rsidRPr="00CC76E1">
        <w:rPr>
          <w:rFonts w:asciiTheme="majorHAnsi" w:hAnsiTheme="majorHAnsi" w:cstheme="majorHAnsi"/>
          <w:sz w:val="19"/>
          <w:szCs w:val="19"/>
        </w:rPr>
        <w:lastRenderedPageBreak/>
        <w:t xml:space="preserve">As discussed in Note </w:t>
      </w:r>
      <w:r w:rsidR="00DA25FC">
        <w:rPr>
          <w:rFonts w:asciiTheme="majorHAnsi" w:hAnsiTheme="majorHAnsi" w:cstheme="majorHAnsi"/>
          <w:sz w:val="19"/>
          <w:szCs w:val="19"/>
        </w:rPr>
        <w:t>9</w:t>
      </w:r>
      <w:r w:rsidRPr="00CC76E1">
        <w:rPr>
          <w:rFonts w:asciiTheme="majorHAnsi" w:hAnsiTheme="majorHAnsi" w:cstheme="majorHAnsi"/>
          <w:sz w:val="19"/>
          <w:szCs w:val="19"/>
        </w:rPr>
        <w:t xml:space="preserve"> to the financial statements, </w:t>
      </w:r>
      <w:r w:rsidR="00942FFC">
        <w:rPr>
          <w:rFonts w:asciiTheme="majorHAnsi" w:hAnsiTheme="majorHAnsi" w:cstheme="majorHAnsi"/>
          <w:sz w:val="19"/>
          <w:szCs w:val="19"/>
        </w:rPr>
        <w:t xml:space="preserve">the consolidated and separate </w:t>
      </w:r>
      <w:r w:rsidR="00CA6CA5">
        <w:rPr>
          <w:rFonts w:asciiTheme="majorHAnsi" w:hAnsiTheme="majorHAnsi" w:cstheme="majorHAnsi"/>
          <w:sz w:val="19"/>
          <w:szCs w:val="19"/>
        </w:rPr>
        <w:t>statement of financial position as at 31 December 2020</w:t>
      </w:r>
      <w:r w:rsidR="008262B0">
        <w:rPr>
          <w:rFonts w:asciiTheme="majorHAnsi" w:hAnsiTheme="majorHAnsi" w:cstheme="majorHAnsi"/>
          <w:sz w:val="19"/>
          <w:szCs w:val="19"/>
        </w:rPr>
        <w:t xml:space="preserve"> included trade accounts receivable </w:t>
      </w:r>
      <w:r w:rsidR="009C1AD7">
        <w:rPr>
          <w:rFonts w:asciiTheme="majorHAnsi" w:hAnsiTheme="majorHAnsi" w:cstheme="majorHAnsi"/>
          <w:sz w:val="19"/>
          <w:szCs w:val="19"/>
        </w:rPr>
        <w:t>from</w:t>
      </w:r>
      <w:r w:rsidR="008262B0">
        <w:rPr>
          <w:rFonts w:asciiTheme="majorHAnsi" w:hAnsiTheme="majorHAnsi" w:cstheme="majorHAnsi"/>
          <w:sz w:val="19"/>
          <w:szCs w:val="19"/>
        </w:rPr>
        <w:t xml:space="preserve"> </w:t>
      </w:r>
      <w:r w:rsidR="00267831">
        <w:rPr>
          <w:rFonts w:asciiTheme="majorHAnsi" w:hAnsiTheme="majorHAnsi" w:cstheme="majorHAnsi"/>
          <w:sz w:val="19"/>
          <w:szCs w:val="19"/>
        </w:rPr>
        <w:t>a State Enterpri</w:t>
      </w:r>
      <w:r w:rsidR="0035560A">
        <w:rPr>
          <w:rFonts w:asciiTheme="majorHAnsi" w:hAnsiTheme="majorHAnsi" w:cstheme="majorHAnsi"/>
          <w:sz w:val="19"/>
          <w:szCs w:val="19"/>
        </w:rPr>
        <w:t>s</w:t>
      </w:r>
      <w:r w:rsidR="00267831">
        <w:rPr>
          <w:rFonts w:asciiTheme="majorHAnsi" w:hAnsiTheme="majorHAnsi" w:cstheme="majorHAnsi"/>
          <w:sz w:val="19"/>
          <w:szCs w:val="19"/>
        </w:rPr>
        <w:t>e</w:t>
      </w:r>
      <w:r w:rsidR="008262B0">
        <w:rPr>
          <w:rFonts w:asciiTheme="majorHAnsi" w:hAnsiTheme="majorHAnsi" w:cstheme="majorHAnsi"/>
          <w:sz w:val="19"/>
          <w:szCs w:val="19"/>
        </w:rPr>
        <w:t xml:space="preserve"> for</w:t>
      </w:r>
      <w:r w:rsidR="0011002D">
        <w:rPr>
          <w:rFonts w:asciiTheme="majorHAnsi" w:hAnsiTheme="majorHAnsi" w:cstheme="majorHAnsi"/>
          <w:sz w:val="19"/>
          <w:szCs w:val="19"/>
        </w:rPr>
        <w:t xml:space="preserve"> </w:t>
      </w:r>
      <w:r w:rsidR="00FC0153">
        <w:rPr>
          <w:rFonts w:asciiTheme="majorHAnsi" w:hAnsiTheme="majorHAnsi" w:cstheme="majorHAnsi"/>
          <w:sz w:val="19"/>
          <w:szCs w:val="19"/>
        </w:rPr>
        <w:t xml:space="preserve">a construction project </w:t>
      </w:r>
      <w:r w:rsidR="002A58D4">
        <w:rPr>
          <w:rFonts w:asciiTheme="majorHAnsi" w:hAnsiTheme="majorHAnsi" w:cstheme="majorHAnsi"/>
          <w:sz w:val="19"/>
          <w:szCs w:val="19"/>
        </w:rPr>
        <w:t xml:space="preserve">totalling Baht 1,125.79 million </w:t>
      </w:r>
      <w:r w:rsidR="00B8637F" w:rsidRPr="00B8637F">
        <w:rPr>
          <w:rFonts w:asciiTheme="majorHAnsi" w:hAnsiTheme="majorHAnsi" w:cstheme="majorHAnsi"/>
          <w:sz w:val="19"/>
          <w:szCs w:val="19"/>
        </w:rPr>
        <w:t>for which the construction</w:t>
      </w:r>
      <w:r w:rsidR="00C127F4">
        <w:rPr>
          <w:rFonts w:asciiTheme="majorHAnsi" w:hAnsiTheme="majorHAnsi" w:cstheme="majorHAnsi"/>
          <w:sz w:val="19"/>
          <w:szCs w:val="19"/>
        </w:rPr>
        <w:t xml:space="preserve"> work</w:t>
      </w:r>
      <w:r w:rsidR="00B8637F" w:rsidRPr="00B8637F">
        <w:rPr>
          <w:rFonts w:asciiTheme="majorHAnsi" w:hAnsiTheme="majorHAnsi" w:cstheme="majorHAnsi"/>
          <w:sz w:val="19"/>
          <w:szCs w:val="19"/>
        </w:rPr>
        <w:t xml:space="preserve"> has been completed in September 2019</w:t>
      </w:r>
      <w:r w:rsidR="00E05E7E">
        <w:rPr>
          <w:rFonts w:asciiTheme="majorHAnsi" w:hAnsiTheme="majorHAnsi" w:cstheme="majorHAnsi"/>
          <w:sz w:val="19"/>
          <w:szCs w:val="19"/>
        </w:rPr>
        <w:t xml:space="preserve"> and</w:t>
      </w:r>
      <w:r w:rsidR="00B8637F" w:rsidRPr="00B8637F">
        <w:rPr>
          <w:rFonts w:asciiTheme="majorHAnsi" w:hAnsiTheme="majorHAnsi" w:cstheme="majorHAnsi"/>
          <w:sz w:val="19"/>
          <w:szCs w:val="19"/>
        </w:rPr>
        <w:t xml:space="preserve"> </w:t>
      </w:r>
      <w:r w:rsidR="00E05E7E">
        <w:rPr>
          <w:rFonts w:asciiTheme="majorHAnsi" w:hAnsiTheme="majorHAnsi" w:cstheme="majorHAnsi"/>
          <w:sz w:val="19"/>
          <w:szCs w:val="19"/>
        </w:rPr>
        <w:t>t</w:t>
      </w:r>
      <w:r w:rsidR="00B8637F" w:rsidRPr="00B8637F">
        <w:rPr>
          <w:rFonts w:asciiTheme="majorHAnsi" w:hAnsiTheme="majorHAnsi" w:cstheme="majorHAnsi"/>
          <w:sz w:val="19"/>
          <w:szCs w:val="19"/>
        </w:rPr>
        <w:t>he Company has been negotiating for the collection of this outstanding amount which has been held by the project owner since the construction project was completed after the key completion dates</w:t>
      </w:r>
      <w:r w:rsidR="00A54862">
        <w:rPr>
          <w:rFonts w:asciiTheme="majorHAnsi" w:hAnsiTheme="majorHAnsi" w:cstheme="majorHAnsi"/>
          <w:sz w:val="19"/>
          <w:szCs w:val="19"/>
        </w:rPr>
        <w:t xml:space="preserve"> (Key Date)</w:t>
      </w:r>
      <w:r w:rsidR="00B8637F" w:rsidRPr="00B8637F">
        <w:rPr>
          <w:rFonts w:asciiTheme="majorHAnsi" w:hAnsiTheme="majorHAnsi" w:cstheme="majorHAnsi"/>
          <w:sz w:val="19"/>
          <w:szCs w:val="19"/>
        </w:rPr>
        <w:t xml:space="preserve"> and the ended date under construction contract.</w:t>
      </w:r>
      <w:r w:rsidR="0090648A">
        <w:rPr>
          <w:rFonts w:asciiTheme="majorHAnsi" w:hAnsiTheme="majorHAnsi" w:cstheme="majorHAnsi"/>
          <w:sz w:val="19"/>
          <w:szCs w:val="19"/>
        </w:rPr>
        <w:t xml:space="preserve"> In January 2020, the Company </w:t>
      </w:r>
      <w:r w:rsidR="00AD2C32" w:rsidRPr="00AD2C32">
        <w:rPr>
          <w:rFonts w:asciiTheme="majorHAnsi" w:hAnsiTheme="majorHAnsi" w:cstheme="majorHAnsi"/>
          <w:sz w:val="19"/>
          <w:szCs w:val="19"/>
        </w:rPr>
        <w:t>opposed to the claims by submitting letters declaring the causes of the delays from the project plan that need the Company to request for the revision/extension of the completion date as initially determined in the construction contract with the project owner.</w:t>
      </w:r>
      <w:r w:rsidR="006B73D1">
        <w:rPr>
          <w:rFonts w:asciiTheme="majorHAnsi" w:hAnsiTheme="majorHAnsi" w:cstheme="majorHAnsi"/>
          <w:sz w:val="19"/>
          <w:szCs w:val="19"/>
        </w:rPr>
        <w:t xml:space="preserve"> </w:t>
      </w:r>
      <w:r w:rsidR="006B73D1" w:rsidRPr="006B73D1">
        <w:rPr>
          <w:rFonts w:asciiTheme="majorHAnsi" w:hAnsiTheme="majorHAnsi" w:cstheme="majorHAnsi"/>
          <w:sz w:val="19"/>
          <w:szCs w:val="19"/>
        </w:rPr>
        <w:t>Such declarations are concerned with many cases and events which impacted</w:t>
      </w:r>
      <w:r w:rsidR="006B73D1" w:rsidRPr="006B73D1">
        <w:rPr>
          <w:rFonts w:asciiTheme="majorHAnsi" w:hAnsiTheme="majorHAnsi" w:cstheme="majorHAnsi"/>
          <w:sz w:val="19"/>
          <w:szCs w:val="19"/>
          <w:lang w:bidi="th-TH"/>
        </w:rPr>
        <w:t xml:space="preserve"> </w:t>
      </w:r>
      <w:r w:rsidR="006B73D1" w:rsidRPr="006B73D1">
        <w:rPr>
          <w:rFonts w:asciiTheme="majorHAnsi" w:hAnsiTheme="majorHAnsi" w:cstheme="majorHAnsi"/>
          <w:sz w:val="19"/>
          <w:szCs w:val="19"/>
        </w:rPr>
        <w:t>the</w:t>
      </w:r>
      <w:r w:rsidR="006B73D1" w:rsidRPr="006B73D1">
        <w:rPr>
          <w:rFonts w:asciiTheme="majorHAnsi" w:hAnsiTheme="majorHAnsi" w:cstheme="majorHAnsi"/>
          <w:sz w:val="19"/>
          <w:szCs w:val="19"/>
          <w:cs/>
          <w:lang w:bidi="th-TH"/>
        </w:rPr>
        <w:t xml:space="preserve"> </w:t>
      </w:r>
      <w:r w:rsidR="006B73D1" w:rsidRPr="006B73D1">
        <w:rPr>
          <w:rFonts w:asciiTheme="majorHAnsi" w:hAnsiTheme="majorHAnsi" w:cstheme="majorHAnsi"/>
          <w:sz w:val="19"/>
          <w:szCs w:val="19"/>
          <w:lang w:val="en-US" w:bidi="th-TH"/>
        </w:rPr>
        <w:t>delay of</w:t>
      </w:r>
      <w:r w:rsidR="006B73D1" w:rsidRPr="006B73D1">
        <w:rPr>
          <w:rFonts w:asciiTheme="majorHAnsi" w:hAnsiTheme="majorHAnsi" w:cstheme="majorHAnsi"/>
          <w:sz w:val="19"/>
          <w:szCs w:val="19"/>
        </w:rPr>
        <w:t xml:space="preserve"> construction work</w:t>
      </w:r>
      <w:r w:rsidR="000E1489">
        <w:rPr>
          <w:rFonts w:asciiTheme="majorHAnsi" w:hAnsiTheme="majorHAnsi" w:cstheme="majorHAnsi"/>
          <w:sz w:val="19"/>
          <w:szCs w:val="19"/>
        </w:rPr>
        <w:t xml:space="preserve">. In September 2020, </w:t>
      </w:r>
      <w:r w:rsidR="000E1489" w:rsidRPr="00725494">
        <w:rPr>
          <w:rFonts w:asciiTheme="majorHAnsi" w:hAnsiTheme="majorHAnsi" w:cstheme="majorHAnsi"/>
          <w:sz w:val="19"/>
          <w:szCs w:val="19"/>
        </w:rPr>
        <w:t>the Company received a notification from the project owner summarizing the consideration of the extension of the completion dates for some cases of the delay causes</w:t>
      </w:r>
      <w:r w:rsidR="000E1489" w:rsidRPr="00725494">
        <w:rPr>
          <w:rFonts w:asciiTheme="majorHAnsi" w:hAnsiTheme="majorHAnsi" w:cstheme="majorHAnsi" w:hint="cs"/>
          <w:sz w:val="19"/>
          <w:szCs w:val="19"/>
          <w:cs/>
          <w:lang w:bidi="th-TH"/>
        </w:rPr>
        <w:t xml:space="preserve"> </w:t>
      </w:r>
      <w:r w:rsidR="000E1489" w:rsidRPr="00725494">
        <w:rPr>
          <w:rFonts w:asciiTheme="majorHAnsi" w:hAnsiTheme="majorHAnsi" w:cstheme="majorHAnsi"/>
          <w:sz w:val="19"/>
          <w:szCs w:val="19"/>
        </w:rPr>
        <w:t>and reduction in the penalty charges. However, the Company still opposed to the extended number of days relating to the causes of construction delays as approved by the project owner.</w:t>
      </w:r>
      <w:r w:rsidR="00BC20A8">
        <w:rPr>
          <w:rFonts w:asciiTheme="majorHAnsi" w:hAnsiTheme="majorHAnsi" w:cstheme="majorHAnsi"/>
          <w:sz w:val="19"/>
          <w:szCs w:val="19"/>
          <w:lang w:val="en-US"/>
        </w:rPr>
        <w:t xml:space="preserve"> </w:t>
      </w:r>
      <w:r w:rsidRPr="00BC20A8">
        <w:rPr>
          <w:rFonts w:asciiTheme="majorHAnsi" w:hAnsiTheme="majorHAnsi" w:cstheme="majorHAnsi"/>
          <w:sz w:val="19"/>
          <w:szCs w:val="19"/>
        </w:rPr>
        <w:t>Consequently, the Company submitted a</w:t>
      </w:r>
      <w:r w:rsidRPr="00BC20A8">
        <w:rPr>
          <w:rFonts w:asciiTheme="majorHAnsi" w:hAnsiTheme="majorHAnsi" w:cstheme="majorHAnsi"/>
          <w:sz w:val="19"/>
          <w:szCs w:val="19"/>
          <w:lang w:val="en-US" w:bidi="th-TH"/>
        </w:rPr>
        <w:t xml:space="preserve"> letter to the project owner to reserve the right </w:t>
      </w:r>
      <w:r w:rsidRPr="00BC20A8">
        <w:rPr>
          <w:rFonts w:asciiTheme="majorHAnsi" w:hAnsiTheme="majorHAnsi" w:cstheme="majorHAnsi"/>
          <w:sz w:val="19"/>
          <w:szCs w:val="19"/>
        </w:rPr>
        <w:t>for abstaining and reducing the remaining penalty charges</w:t>
      </w:r>
      <w:r w:rsidR="00BC20A8">
        <w:rPr>
          <w:rFonts w:asciiTheme="majorHAnsi" w:hAnsiTheme="majorHAnsi" w:cstheme="majorHAnsi"/>
          <w:sz w:val="19"/>
          <w:szCs w:val="19"/>
        </w:rPr>
        <w:t xml:space="preserve"> and </w:t>
      </w:r>
      <w:r w:rsidR="00392C2E">
        <w:rPr>
          <w:rFonts w:asciiTheme="majorHAnsi" w:hAnsiTheme="majorHAnsi" w:cstheme="majorHAnsi"/>
          <w:sz w:val="19"/>
          <w:szCs w:val="19"/>
        </w:rPr>
        <w:t xml:space="preserve">request for </w:t>
      </w:r>
      <w:r w:rsidR="008248FF">
        <w:rPr>
          <w:rFonts w:asciiTheme="majorHAnsi" w:hAnsiTheme="majorHAnsi" w:cstheme="majorHAnsi"/>
          <w:sz w:val="19"/>
          <w:szCs w:val="19"/>
        </w:rPr>
        <w:t>receive</w:t>
      </w:r>
      <w:r w:rsidR="008C0A85">
        <w:rPr>
          <w:rFonts w:asciiTheme="majorHAnsi" w:hAnsiTheme="majorHAnsi" w:cstheme="majorHAnsi"/>
          <w:sz w:val="19"/>
          <w:szCs w:val="19"/>
        </w:rPr>
        <w:t xml:space="preserve"> the</w:t>
      </w:r>
      <w:r w:rsidR="008248FF">
        <w:rPr>
          <w:rFonts w:asciiTheme="majorHAnsi" w:hAnsiTheme="majorHAnsi" w:cstheme="majorHAnsi"/>
          <w:sz w:val="19"/>
          <w:szCs w:val="19"/>
        </w:rPr>
        <w:t xml:space="preserve"> payment </w:t>
      </w:r>
      <w:r w:rsidR="008C0A85">
        <w:rPr>
          <w:rFonts w:asciiTheme="majorHAnsi" w:hAnsiTheme="majorHAnsi" w:cstheme="majorHAnsi"/>
          <w:sz w:val="19"/>
          <w:szCs w:val="19"/>
        </w:rPr>
        <w:t>f</w:t>
      </w:r>
      <w:r w:rsidR="008248FF">
        <w:rPr>
          <w:rFonts w:asciiTheme="majorHAnsi" w:hAnsiTheme="majorHAnsi" w:cstheme="majorHAnsi"/>
          <w:sz w:val="19"/>
          <w:szCs w:val="19"/>
        </w:rPr>
        <w:t>o</w:t>
      </w:r>
      <w:r w:rsidR="008C0A85">
        <w:rPr>
          <w:rFonts w:asciiTheme="majorHAnsi" w:hAnsiTheme="majorHAnsi" w:cstheme="majorHAnsi"/>
          <w:sz w:val="19"/>
          <w:szCs w:val="19"/>
        </w:rPr>
        <w:t>r</w:t>
      </w:r>
      <w:r w:rsidR="00D17386">
        <w:rPr>
          <w:rFonts w:asciiTheme="majorHAnsi" w:hAnsiTheme="majorHAnsi" w:cstheme="majorHAnsi"/>
          <w:sz w:val="19"/>
          <w:szCs w:val="19"/>
        </w:rPr>
        <w:t xml:space="preserve"> </w:t>
      </w:r>
      <w:r w:rsidR="00392C2E">
        <w:rPr>
          <w:rFonts w:asciiTheme="majorHAnsi" w:hAnsiTheme="majorHAnsi" w:cstheme="majorHAnsi"/>
          <w:sz w:val="19"/>
          <w:szCs w:val="19"/>
        </w:rPr>
        <w:t>the construction</w:t>
      </w:r>
      <w:r w:rsidR="00BC36D6">
        <w:rPr>
          <w:rFonts w:asciiTheme="majorHAnsi" w:hAnsiTheme="majorHAnsi" w:cstheme="majorHAnsi"/>
          <w:sz w:val="19"/>
          <w:szCs w:val="19"/>
        </w:rPr>
        <w:t xml:space="preserve"> work</w:t>
      </w:r>
      <w:r w:rsidR="00C73BCE">
        <w:rPr>
          <w:rFonts w:asciiTheme="majorHAnsi" w:hAnsiTheme="majorHAnsi" w:cstheme="majorHAnsi"/>
          <w:sz w:val="19"/>
          <w:szCs w:val="19"/>
        </w:rPr>
        <w:t xml:space="preserve"> which has been held</w:t>
      </w:r>
      <w:r w:rsidR="002F01A0">
        <w:rPr>
          <w:rFonts w:asciiTheme="majorHAnsi" w:hAnsiTheme="majorHAnsi" w:cstheme="majorHAnsi"/>
          <w:sz w:val="19"/>
          <w:szCs w:val="19"/>
        </w:rPr>
        <w:t>.</w:t>
      </w:r>
      <w:r w:rsidR="00392C2E">
        <w:rPr>
          <w:rFonts w:asciiTheme="majorHAnsi" w:hAnsiTheme="majorHAnsi" w:cstheme="majorHAnsi"/>
          <w:sz w:val="19"/>
          <w:szCs w:val="19"/>
        </w:rPr>
        <w:t xml:space="preserve"> </w:t>
      </w:r>
      <w:r w:rsidRPr="00F01F44">
        <w:rPr>
          <w:rFonts w:asciiTheme="majorHAnsi" w:hAnsiTheme="majorHAnsi" w:cstheme="majorHAnsi"/>
          <w:sz w:val="19"/>
          <w:szCs w:val="19"/>
        </w:rPr>
        <w:t xml:space="preserve">The Company also requests for the extension of completion date of construction for the delays caused by other cases which are being proposed to the Board of Directors of the project owner for further approval. </w:t>
      </w:r>
      <w:r w:rsidRPr="00F01F44">
        <w:rPr>
          <w:rFonts w:asciiTheme="majorHAnsi" w:hAnsiTheme="majorHAnsi" w:cstheme="majorHAnsi"/>
          <w:sz w:val="19"/>
          <w:szCs w:val="19"/>
          <w:lang w:val="en-US" w:bidi="th-TH"/>
        </w:rPr>
        <w:t>The Company’s management is currently unable to assess the impact of such matter which are depending on the events that cannot be presently concluded.</w:t>
      </w:r>
      <w:r w:rsidR="00990BB1">
        <w:rPr>
          <w:rFonts w:asciiTheme="majorHAnsi" w:hAnsiTheme="majorHAnsi" w:cstheme="majorHAnsi"/>
          <w:sz w:val="19"/>
          <w:szCs w:val="19"/>
          <w:lang w:val="en-US" w:bidi="th-TH"/>
        </w:rPr>
        <w:t xml:space="preserve"> I am unable to </w:t>
      </w:r>
      <w:r w:rsidR="00BD3A49">
        <w:rPr>
          <w:rFonts w:asciiTheme="majorHAnsi" w:hAnsiTheme="majorHAnsi" w:cstheme="majorHAnsi"/>
          <w:sz w:val="19"/>
          <w:szCs w:val="19"/>
          <w:lang w:val="en-US" w:bidi="th-TH"/>
        </w:rPr>
        <w:t>assess</w:t>
      </w:r>
      <w:r w:rsidR="00990BB1">
        <w:rPr>
          <w:rFonts w:asciiTheme="majorHAnsi" w:hAnsiTheme="majorHAnsi" w:cstheme="majorHAnsi"/>
          <w:sz w:val="19"/>
          <w:szCs w:val="19"/>
          <w:lang w:val="en-US" w:bidi="th-TH"/>
        </w:rPr>
        <w:t xml:space="preserve"> the potential impact (if any) to </w:t>
      </w:r>
      <w:r w:rsidR="00B0205C">
        <w:rPr>
          <w:rFonts w:asciiTheme="majorHAnsi" w:hAnsiTheme="majorHAnsi" w:cstheme="majorHAnsi"/>
          <w:sz w:val="19"/>
          <w:szCs w:val="19"/>
          <w:lang w:val="en-US" w:bidi="th-TH"/>
        </w:rPr>
        <w:t>such</w:t>
      </w:r>
      <w:r w:rsidR="00990BB1">
        <w:rPr>
          <w:rFonts w:asciiTheme="majorHAnsi" w:hAnsiTheme="majorHAnsi" w:cstheme="majorHAnsi"/>
          <w:sz w:val="19"/>
          <w:szCs w:val="19"/>
          <w:lang w:val="en-US" w:bidi="th-TH"/>
        </w:rPr>
        <w:t xml:space="preserve"> outstanding </w:t>
      </w:r>
      <w:r w:rsidR="00B0205C">
        <w:rPr>
          <w:rFonts w:asciiTheme="majorHAnsi" w:hAnsiTheme="majorHAnsi" w:cstheme="majorHAnsi"/>
          <w:sz w:val="19"/>
          <w:szCs w:val="19"/>
          <w:lang w:val="en-US" w:bidi="th-TH"/>
        </w:rPr>
        <w:t xml:space="preserve">trade accounts receivable </w:t>
      </w:r>
      <w:r w:rsidR="00210D7F">
        <w:rPr>
          <w:rFonts w:asciiTheme="majorHAnsi" w:hAnsiTheme="majorHAnsi" w:cstheme="majorHAnsi"/>
          <w:sz w:val="19"/>
          <w:szCs w:val="19"/>
          <w:lang w:val="en-US" w:bidi="th-TH"/>
        </w:rPr>
        <w:t xml:space="preserve">in the consolidated and separate financial statement. </w:t>
      </w:r>
    </w:p>
    <w:p w14:paraId="3C10BE79" w14:textId="77777777" w:rsidR="00D9263F" w:rsidRDefault="00D9263F" w:rsidP="00CB2010">
      <w:pPr>
        <w:pStyle w:val="ListParagraph"/>
        <w:spacing w:after="0" w:line="360" w:lineRule="auto"/>
        <w:ind w:left="360"/>
        <w:jc w:val="thaiDistribute"/>
        <w:rPr>
          <w:rFonts w:asciiTheme="majorHAnsi" w:hAnsiTheme="majorHAnsi" w:cstheme="majorHAnsi"/>
          <w:sz w:val="19"/>
          <w:szCs w:val="19"/>
          <w:lang w:val="en-US"/>
        </w:rPr>
      </w:pPr>
    </w:p>
    <w:p w14:paraId="05B43283" w14:textId="261332B0" w:rsidR="00685A5F" w:rsidRPr="0032246D" w:rsidRDefault="00EF1EAF" w:rsidP="00EF1EAF">
      <w:pPr>
        <w:spacing w:after="0" w:line="360" w:lineRule="auto"/>
        <w:jc w:val="thaiDistribute"/>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conducted my audit in accordance with Thai Standards on Auditing. My responsibilities under those standards are further described </w:t>
      </w:r>
      <w:r w:rsidR="00F54DA2">
        <w:rPr>
          <w:rFonts w:asciiTheme="majorHAnsi" w:hAnsiTheme="majorHAnsi" w:cstheme="majorHAnsi"/>
          <w:sz w:val="19"/>
          <w:szCs w:val="19"/>
          <w:lang w:val="en-US"/>
        </w:rPr>
        <w:t>under</w:t>
      </w:r>
      <w:r w:rsidRPr="0032246D">
        <w:rPr>
          <w:rFonts w:asciiTheme="majorHAnsi" w:hAnsiTheme="majorHAnsi" w:cstheme="majorHAnsi"/>
          <w:sz w:val="19"/>
          <w:szCs w:val="19"/>
          <w:lang w:val="en-US"/>
        </w:rPr>
        <w:t xml:space="preserve"> the Auditor’s Responsibilities for the Audit of the Financial Statements section of my report. I am independent of the Group in accordance with the Federation of Accounting Professions’ Code of Ethics for Professional Accountants that is relevant to my audit of the financial statements, and I have fulfilled my other ethical responsibilities in accordance with these requirements. I believe that the audit evidence I have obtained is sufficient and appropriate to provide a basis for my qualified opinion.</w:t>
      </w:r>
    </w:p>
    <w:p w14:paraId="3F033540" w14:textId="464AD4A5" w:rsidR="008E6DAC" w:rsidRDefault="008E6DAC" w:rsidP="00B37CDE">
      <w:pPr>
        <w:spacing w:line="360" w:lineRule="auto"/>
        <w:jc w:val="thaiDistribute"/>
        <w:rPr>
          <w:rFonts w:asciiTheme="majorHAnsi" w:hAnsiTheme="majorHAnsi" w:cstheme="majorHAnsi"/>
          <w:sz w:val="19"/>
          <w:szCs w:val="19"/>
          <w:lang w:val="en-US"/>
        </w:rPr>
      </w:pPr>
    </w:p>
    <w:p w14:paraId="3FCC947C" w14:textId="26692B05" w:rsidR="00986DBC" w:rsidRDefault="00986DBC" w:rsidP="00B37CDE">
      <w:pPr>
        <w:spacing w:line="360" w:lineRule="auto"/>
        <w:jc w:val="thaiDistribute"/>
        <w:rPr>
          <w:rFonts w:asciiTheme="majorHAnsi" w:hAnsiTheme="majorHAnsi" w:cstheme="majorHAnsi"/>
          <w:sz w:val="19"/>
          <w:szCs w:val="19"/>
          <w:lang w:val="en-US"/>
        </w:rPr>
      </w:pPr>
    </w:p>
    <w:p w14:paraId="2BA42DB8" w14:textId="5E78C755" w:rsidR="00986DBC" w:rsidRDefault="00986DBC" w:rsidP="00B37CDE">
      <w:pPr>
        <w:spacing w:line="360" w:lineRule="auto"/>
        <w:jc w:val="thaiDistribute"/>
        <w:rPr>
          <w:rFonts w:asciiTheme="majorHAnsi" w:hAnsiTheme="majorHAnsi" w:cstheme="majorHAnsi"/>
          <w:sz w:val="19"/>
          <w:szCs w:val="19"/>
          <w:lang w:val="en-US"/>
        </w:rPr>
      </w:pPr>
    </w:p>
    <w:p w14:paraId="5A83F8F2" w14:textId="13F2396D" w:rsidR="00514B59" w:rsidRDefault="00514B59" w:rsidP="00B37CDE">
      <w:pPr>
        <w:spacing w:line="360" w:lineRule="auto"/>
        <w:jc w:val="thaiDistribute"/>
        <w:rPr>
          <w:rFonts w:asciiTheme="majorHAnsi" w:hAnsiTheme="majorHAnsi" w:cstheme="majorHAnsi"/>
          <w:sz w:val="19"/>
          <w:szCs w:val="19"/>
          <w:lang w:val="en-US"/>
        </w:rPr>
      </w:pPr>
    </w:p>
    <w:p w14:paraId="4E91D873" w14:textId="77777777" w:rsidR="00514B59" w:rsidRDefault="00514B59" w:rsidP="00B37CDE">
      <w:pPr>
        <w:spacing w:line="360" w:lineRule="auto"/>
        <w:jc w:val="thaiDistribute"/>
        <w:rPr>
          <w:rFonts w:asciiTheme="majorHAnsi" w:hAnsiTheme="majorHAnsi" w:cstheme="majorHAnsi"/>
          <w:sz w:val="19"/>
          <w:szCs w:val="19"/>
          <w:lang w:val="en-US"/>
        </w:rPr>
      </w:pPr>
    </w:p>
    <w:p w14:paraId="00C8ACBF" w14:textId="2D97D947" w:rsidR="00986DBC" w:rsidRDefault="00986DBC" w:rsidP="00B37CDE">
      <w:pPr>
        <w:spacing w:line="360" w:lineRule="auto"/>
        <w:jc w:val="thaiDistribute"/>
        <w:rPr>
          <w:rFonts w:asciiTheme="majorHAnsi" w:hAnsiTheme="majorHAnsi" w:cstheme="majorHAnsi"/>
          <w:sz w:val="19"/>
          <w:szCs w:val="19"/>
          <w:lang w:val="en-US"/>
        </w:rPr>
      </w:pPr>
    </w:p>
    <w:p w14:paraId="357753FC" w14:textId="3DDDABB3" w:rsidR="00986DBC" w:rsidRDefault="00986DBC" w:rsidP="00B37CDE">
      <w:pPr>
        <w:spacing w:line="360" w:lineRule="auto"/>
        <w:jc w:val="thaiDistribute"/>
        <w:rPr>
          <w:rFonts w:asciiTheme="majorHAnsi" w:hAnsiTheme="majorHAnsi" w:cstheme="majorHAnsi"/>
          <w:sz w:val="19"/>
          <w:szCs w:val="19"/>
          <w:lang w:val="en-US"/>
        </w:rPr>
      </w:pPr>
    </w:p>
    <w:p w14:paraId="7C10B635" w14:textId="4165F5D3" w:rsidR="00986DBC" w:rsidRDefault="00986DBC" w:rsidP="00B37CDE">
      <w:pPr>
        <w:spacing w:line="360" w:lineRule="auto"/>
        <w:jc w:val="thaiDistribute"/>
        <w:rPr>
          <w:rFonts w:asciiTheme="majorHAnsi" w:hAnsiTheme="majorHAnsi" w:cstheme="majorHAnsi"/>
          <w:sz w:val="19"/>
          <w:szCs w:val="19"/>
          <w:lang w:val="en-US"/>
        </w:rPr>
      </w:pPr>
    </w:p>
    <w:p w14:paraId="7F9464E2" w14:textId="77777777" w:rsidR="007E1FB9" w:rsidRPr="009D0C80" w:rsidRDefault="007E1FB9" w:rsidP="00B37CDE">
      <w:pPr>
        <w:spacing w:line="360" w:lineRule="auto"/>
        <w:jc w:val="thaiDistribute"/>
        <w:rPr>
          <w:rFonts w:asciiTheme="majorHAnsi" w:hAnsiTheme="majorHAnsi" w:cstheme="majorHAnsi"/>
          <w:sz w:val="19"/>
          <w:szCs w:val="19"/>
          <w:lang w:val="en-US"/>
        </w:rPr>
      </w:pPr>
    </w:p>
    <w:p w14:paraId="7BE1AE86" w14:textId="5C289DC0" w:rsidR="00EF1EAF" w:rsidRPr="006A0E2F" w:rsidRDefault="00B67D9B" w:rsidP="006A0E2F">
      <w:pPr>
        <w:autoSpaceDE w:val="0"/>
        <w:autoSpaceDN w:val="0"/>
        <w:adjustRightInd w:val="0"/>
        <w:spacing w:after="0" w:line="360" w:lineRule="auto"/>
        <w:rPr>
          <w:rFonts w:ascii="Arial" w:hAnsi="Arial"/>
          <w:i/>
          <w:iCs/>
          <w:sz w:val="19"/>
          <w:szCs w:val="19"/>
          <w:lang w:val="en-US"/>
        </w:rPr>
      </w:pPr>
      <w:r w:rsidRPr="006A0E2F">
        <w:rPr>
          <w:rFonts w:ascii="Arial" w:hAnsi="Arial"/>
          <w:i/>
          <w:iCs/>
          <w:sz w:val="19"/>
          <w:szCs w:val="19"/>
          <w:lang w:val="en-US"/>
        </w:rPr>
        <w:lastRenderedPageBreak/>
        <w:t>E</w:t>
      </w:r>
      <w:r w:rsidR="00EF1EAF" w:rsidRPr="006A0E2F">
        <w:rPr>
          <w:rFonts w:ascii="Arial" w:hAnsi="Arial"/>
          <w:i/>
          <w:iCs/>
          <w:sz w:val="19"/>
          <w:szCs w:val="19"/>
          <w:lang w:val="en-US"/>
        </w:rPr>
        <w:t xml:space="preserve">mphasis of </w:t>
      </w:r>
      <w:r w:rsidR="0031413A" w:rsidRPr="006A0E2F">
        <w:rPr>
          <w:rFonts w:ascii="Arial" w:hAnsi="Arial"/>
          <w:i/>
          <w:iCs/>
          <w:sz w:val="19"/>
          <w:szCs w:val="19"/>
          <w:lang w:val="en-US"/>
        </w:rPr>
        <w:t>M</w:t>
      </w:r>
      <w:r w:rsidR="00EF1EAF" w:rsidRPr="006A0E2F">
        <w:rPr>
          <w:rFonts w:ascii="Arial" w:hAnsi="Arial"/>
          <w:i/>
          <w:iCs/>
          <w:sz w:val="19"/>
          <w:szCs w:val="19"/>
          <w:lang w:val="en-US"/>
        </w:rPr>
        <w:t>atter</w:t>
      </w:r>
    </w:p>
    <w:p w14:paraId="3D800FE3" w14:textId="77777777" w:rsidR="00C23D53" w:rsidRPr="006A0E2F" w:rsidRDefault="00C23D53" w:rsidP="006A0E2F">
      <w:pPr>
        <w:autoSpaceDE w:val="0"/>
        <w:autoSpaceDN w:val="0"/>
        <w:adjustRightInd w:val="0"/>
        <w:spacing w:after="0" w:line="360" w:lineRule="auto"/>
        <w:rPr>
          <w:rFonts w:ascii="Arial" w:hAnsi="Arial"/>
          <w:sz w:val="19"/>
          <w:szCs w:val="19"/>
          <w:lang w:val="en-US"/>
        </w:rPr>
      </w:pPr>
    </w:p>
    <w:p w14:paraId="64FFDD17" w14:textId="6635C1FC" w:rsidR="00C23D53" w:rsidRPr="006A0E2F" w:rsidRDefault="002350A5" w:rsidP="006A0E2F">
      <w:pPr>
        <w:autoSpaceDE w:val="0"/>
        <w:autoSpaceDN w:val="0"/>
        <w:adjustRightInd w:val="0"/>
        <w:spacing w:after="0" w:line="360" w:lineRule="auto"/>
        <w:jc w:val="thaiDistribute"/>
        <w:rPr>
          <w:rFonts w:ascii="Arial" w:hAnsi="Arial"/>
          <w:sz w:val="19"/>
          <w:szCs w:val="19"/>
          <w:lang w:val="en-US"/>
        </w:rPr>
      </w:pPr>
      <w:r w:rsidRPr="006A0E2F">
        <w:rPr>
          <w:rFonts w:ascii="Arial" w:hAnsi="Arial"/>
          <w:sz w:val="19"/>
          <w:szCs w:val="19"/>
          <w:lang w:val="en-US"/>
        </w:rPr>
        <w:t xml:space="preserve">Without </w:t>
      </w:r>
      <w:r w:rsidR="00925F8A" w:rsidRPr="006A0E2F">
        <w:rPr>
          <w:rFonts w:ascii="Arial" w:hAnsi="Arial"/>
          <w:sz w:val="19"/>
          <w:szCs w:val="19"/>
          <w:lang w:val="en-US"/>
        </w:rPr>
        <w:t>chang</w:t>
      </w:r>
      <w:r w:rsidR="00842915" w:rsidRPr="006A0E2F">
        <w:rPr>
          <w:rFonts w:ascii="Arial" w:hAnsi="Arial"/>
          <w:sz w:val="19"/>
          <w:szCs w:val="19"/>
          <w:lang w:val="en-US"/>
        </w:rPr>
        <w:t>ing</w:t>
      </w:r>
      <w:r w:rsidR="00C84447" w:rsidRPr="006A0E2F">
        <w:rPr>
          <w:rFonts w:ascii="Arial" w:hAnsi="Arial"/>
          <w:sz w:val="19"/>
          <w:szCs w:val="19"/>
          <w:lang w:val="en-US"/>
        </w:rPr>
        <w:t xml:space="preserve"> my</w:t>
      </w:r>
      <w:r w:rsidR="00B251B7" w:rsidRPr="006A0E2F">
        <w:rPr>
          <w:rFonts w:ascii="Arial" w:hAnsi="Arial"/>
          <w:sz w:val="19"/>
          <w:szCs w:val="19"/>
          <w:lang w:val="en-US"/>
        </w:rPr>
        <w:t xml:space="preserve"> qua</w:t>
      </w:r>
      <w:r w:rsidR="00C84447" w:rsidRPr="006A0E2F">
        <w:rPr>
          <w:rFonts w:ascii="Arial" w:hAnsi="Arial"/>
          <w:sz w:val="19"/>
          <w:szCs w:val="19"/>
          <w:lang w:val="en-US"/>
        </w:rPr>
        <w:t>lified opinion</w:t>
      </w:r>
      <w:r w:rsidR="00DA6810" w:rsidRPr="006A0E2F">
        <w:rPr>
          <w:rFonts w:ascii="Arial" w:hAnsi="Arial"/>
          <w:sz w:val="19"/>
          <w:szCs w:val="19"/>
          <w:lang w:val="en-US"/>
        </w:rPr>
        <w:t>,</w:t>
      </w:r>
      <w:r w:rsidR="00C84447" w:rsidRPr="006A0E2F">
        <w:rPr>
          <w:rFonts w:ascii="Arial" w:hAnsi="Arial"/>
          <w:sz w:val="19"/>
          <w:szCs w:val="19"/>
          <w:lang w:val="en-US"/>
        </w:rPr>
        <w:t xml:space="preserve"> I draw attention </w:t>
      </w:r>
      <w:r w:rsidR="00CC0434" w:rsidRPr="006A0E2F">
        <w:rPr>
          <w:rFonts w:ascii="Arial" w:hAnsi="Arial"/>
          <w:sz w:val="19"/>
          <w:szCs w:val="19"/>
          <w:lang w:val="en-US"/>
        </w:rPr>
        <w:t>to the</w:t>
      </w:r>
      <w:r w:rsidR="003A23CB" w:rsidRPr="006A0E2F">
        <w:rPr>
          <w:rFonts w:ascii="Arial" w:hAnsi="Arial"/>
          <w:sz w:val="19"/>
          <w:szCs w:val="19"/>
          <w:lang w:val="en-US"/>
        </w:rPr>
        <w:t xml:space="preserve"> following</w:t>
      </w:r>
      <w:r w:rsidR="00CC0434" w:rsidRPr="006A0E2F">
        <w:rPr>
          <w:rFonts w:ascii="Arial" w:hAnsi="Arial"/>
          <w:sz w:val="19"/>
          <w:szCs w:val="19"/>
          <w:lang w:val="en-US"/>
        </w:rPr>
        <w:t xml:space="preserve"> information</w:t>
      </w:r>
      <w:r w:rsidR="003A23CB" w:rsidRPr="006A0E2F">
        <w:rPr>
          <w:rFonts w:ascii="Arial" w:hAnsi="Arial"/>
          <w:sz w:val="19"/>
          <w:szCs w:val="19"/>
          <w:lang w:val="en-US"/>
        </w:rPr>
        <w:t>:</w:t>
      </w:r>
    </w:p>
    <w:p w14:paraId="375FD6B6" w14:textId="72BCC8C0" w:rsidR="00B72E7C" w:rsidRPr="006A0E2F" w:rsidRDefault="00B72E7C" w:rsidP="006A0E2F">
      <w:pPr>
        <w:autoSpaceDE w:val="0"/>
        <w:autoSpaceDN w:val="0"/>
        <w:adjustRightInd w:val="0"/>
        <w:spacing w:after="0" w:line="360" w:lineRule="auto"/>
        <w:rPr>
          <w:rFonts w:ascii="Arial" w:hAnsi="Arial"/>
          <w:sz w:val="19"/>
          <w:szCs w:val="19"/>
          <w:lang w:val="en-US"/>
        </w:rPr>
      </w:pPr>
    </w:p>
    <w:p w14:paraId="0594AEA3" w14:textId="237C4DA7" w:rsidR="004D28EA" w:rsidRPr="006A0E2F" w:rsidRDefault="00091CD1" w:rsidP="006A0E2F">
      <w:pPr>
        <w:pStyle w:val="ListParagraph"/>
        <w:numPr>
          <w:ilvl w:val="0"/>
          <w:numId w:val="28"/>
        </w:numPr>
        <w:autoSpaceDE w:val="0"/>
        <w:autoSpaceDN w:val="0"/>
        <w:adjustRightInd w:val="0"/>
        <w:spacing w:after="0" w:line="360" w:lineRule="auto"/>
        <w:ind w:left="426" w:hanging="426"/>
        <w:jc w:val="thaiDistribute"/>
        <w:rPr>
          <w:rFonts w:ascii="Arial" w:hAnsi="Arial"/>
          <w:sz w:val="19"/>
          <w:szCs w:val="19"/>
          <w:lang w:val="en-US"/>
        </w:rPr>
      </w:pPr>
      <w:r w:rsidRPr="006A0E2F">
        <w:rPr>
          <w:rFonts w:ascii="Arial" w:hAnsi="Arial"/>
          <w:sz w:val="19"/>
          <w:szCs w:val="19"/>
        </w:rPr>
        <w:t>As discussed in Notes 1</w:t>
      </w:r>
      <w:r w:rsidR="00644FE3" w:rsidRPr="006A0E2F">
        <w:rPr>
          <w:rFonts w:ascii="Arial" w:hAnsi="Arial"/>
          <w:sz w:val="19"/>
          <w:szCs w:val="19"/>
        </w:rPr>
        <w:t>6</w:t>
      </w:r>
      <w:r w:rsidRPr="006A0E2F">
        <w:rPr>
          <w:rFonts w:ascii="Arial" w:hAnsi="Arial"/>
          <w:sz w:val="19"/>
          <w:szCs w:val="19"/>
        </w:rPr>
        <w:t>.2, 1</w:t>
      </w:r>
      <w:r w:rsidR="00644FE3" w:rsidRPr="006A0E2F">
        <w:rPr>
          <w:rFonts w:ascii="Arial" w:hAnsi="Arial"/>
          <w:sz w:val="19"/>
          <w:szCs w:val="19"/>
        </w:rPr>
        <w:t>9</w:t>
      </w:r>
      <w:r w:rsidRPr="006A0E2F">
        <w:rPr>
          <w:rFonts w:ascii="Arial" w:hAnsi="Arial"/>
          <w:sz w:val="19"/>
          <w:szCs w:val="19"/>
        </w:rPr>
        <w:t xml:space="preserve"> and </w:t>
      </w:r>
      <w:r w:rsidR="00644FE3" w:rsidRPr="006A0E2F">
        <w:rPr>
          <w:rFonts w:ascii="Arial" w:hAnsi="Arial"/>
          <w:sz w:val="19"/>
          <w:szCs w:val="19"/>
        </w:rPr>
        <w:t>26</w:t>
      </w:r>
      <w:r w:rsidRPr="006A0E2F">
        <w:rPr>
          <w:rFonts w:ascii="Arial" w:hAnsi="Arial"/>
          <w:sz w:val="19"/>
          <w:szCs w:val="19"/>
        </w:rPr>
        <w:t xml:space="preserve"> to the financial statements, the </w:t>
      </w:r>
      <w:r w:rsidRPr="006A0E2F">
        <w:rPr>
          <w:rFonts w:ascii="Arial" w:hAnsi="Arial"/>
          <w:sz w:val="19"/>
          <w:szCs w:val="19"/>
          <w:lang w:bidi="th-TH"/>
        </w:rPr>
        <w:t xml:space="preserve">Group </w:t>
      </w:r>
      <w:r w:rsidRPr="006A0E2F">
        <w:rPr>
          <w:rFonts w:ascii="Arial" w:hAnsi="Arial"/>
          <w:sz w:val="19"/>
          <w:szCs w:val="19"/>
        </w:rPr>
        <w:t xml:space="preserve">has significant investments in projects with </w:t>
      </w:r>
      <w:r w:rsidR="00525AB3" w:rsidRPr="006A0E2F">
        <w:rPr>
          <w:rFonts w:ascii="Arial" w:hAnsi="Arial"/>
          <w:sz w:val="19"/>
          <w:szCs w:val="19"/>
        </w:rPr>
        <w:t>Thailand</w:t>
      </w:r>
      <w:r w:rsidRPr="006A0E2F">
        <w:rPr>
          <w:rFonts w:ascii="Arial" w:hAnsi="Arial"/>
          <w:sz w:val="19"/>
          <w:szCs w:val="19"/>
        </w:rPr>
        <w:t xml:space="preserve"> and overseas Government Agencies which projects are under development stages, whereby the future development to meet the milestone of such projects are dependent upon various circumstance and factors. The investments in the significant projects included in the consolidated and separate financial statements as of                                      3</w:t>
      </w:r>
      <w:r w:rsidR="00D62DC0" w:rsidRPr="006A0E2F">
        <w:rPr>
          <w:rFonts w:ascii="Arial" w:hAnsi="Arial"/>
          <w:sz w:val="19"/>
          <w:szCs w:val="19"/>
        </w:rPr>
        <w:t>1 December 2020</w:t>
      </w:r>
      <w:r w:rsidRPr="006A0E2F">
        <w:rPr>
          <w:rFonts w:ascii="Arial" w:hAnsi="Arial"/>
          <w:sz w:val="19"/>
          <w:szCs w:val="19"/>
        </w:rPr>
        <w:t xml:space="preserve"> are as follows:</w:t>
      </w:r>
    </w:p>
    <w:p w14:paraId="717CE2A5" w14:textId="77777777" w:rsidR="004D28EA" w:rsidRPr="006A0E2F" w:rsidRDefault="004D28EA" w:rsidP="006A0E2F">
      <w:pPr>
        <w:pStyle w:val="ListParagraph"/>
        <w:autoSpaceDE w:val="0"/>
        <w:autoSpaceDN w:val="0"/>
        <w:adjustRightInd w:val="0"/>
        <w:spacing w:after="0" w:line="360" w:lineRule="auto"/>
        <w:ind w:left="426"/>
        <w:jc w:val="thaiDistribute"/>
        <w:rPr>
          <w:rFonts w:ascii="Arial" w:hAnsi="Arial"/>
          <w:sz w:val="19"/>
          <w:szCs w:val="19"/>
        </w:rPr>
      </w:pPr>
    </w:p>
    <w:p w14:paraId="79EDD962" w14:textId="77777777" w:rsidR="00741E55" w:rsidRPr="006A0E2F" w:rsidRDefault="00971F0A" w:rsidP="006A0E2F">
      <w:pPr>
        <w:pStyle w:val="ListParagraph"/>
        <w:numPr>
          <w:ilvl w:val="0"/>
          <w:numId w:val="31"/>
        </w:numPr>
        <w:autoSpaceDE w:val="0"/>
        <w:autoSpaceDN w:val="0"/>
        <w:adjustRightInd w:val="0"/>
        <w:spacing w:after="0" w:line="360" w:lineRule="auto"/>
        <w:ind w:left="851" w:hanging="425"/>
        <w:jc w:val="thaiDistribute"/>
        <w:rPr>
          <w:rFonts w:ascii="Arial" w:hAnsi="Arial"/>
          <w:sz w:val="19"/>
          <w:szCs w:val="19"/>
          <w:lang w:val="en-US"/>
        </w:rPr>
      </w:pPr>
      <w:r w:rsidRPr="006A0E2F">
        <w:rPr>
          <w:rFonts w:ascii="Arial" w:hAnsi="Arial"/>
          <w:sz w:val="19"/>
          <w:szCs w:val="19"/>
        </w:rPr>
        <w:t>As discussed in Note 1</w:t>
      </w:r>
      <w:r w:rsidR="00BB5E35" w:rsidRPr="006A0E2F">
        <w:rPr>
          <w:rFonts w:ascii="Arial" w:hAnsi="Arial"/>
          <w:sz w:val="19"/>
          <w:szCs w:val="19"/>
        </w:rPr>
        <w:t>6</w:t>
      </w:r>
      <w:r w:rsidRPr="006A0E2F">
        <w:rPr>
          <w:rFonts w:ascii="Arial" w:hAnsi="Arial"/>
          <w:sz w:val="19"/>
          <w:szCs w:val="19"/>
        </w:rPr>
        <w:t xml:space="preserve">.2 to the financial statements, the Company has investment in bauxite mining, and the construction of Alumina Production Plant Project. Such investment was made through an </w:t>
      </w:r>
      <w:r w:rsidRPr="006A0E2F">
        <w:rPr>
          <w:rFonts w:ascii="Arial" w:hAnsi="Arial"/>
          <w:sz w:val="19"/>
          <w:szCs w:val="19"/>
          <w:lang w:val="en-US" w:bidi="th-TH"/>
        </w:rPr>
        <w:t xml:space="preserve">associated company </w:t>
      </w:r>
      <w:r w:rsidRPr="006A0E2F">
        <w:rPr>
          <w:rFonts w:ascii="Arial" w:hAnsi="Arial"/>
          <w:sz w:val="19"/>
          <w:szCs w:val="19"/>
        </w:rPr>
        <w:t>which was established in Lao People’s Democratic Republic.</w:t>
      </w:r>
      <w:r w:rsidR="00EF114B" w:rsidRPr="006A0E2F">
        <w:rPr>
          <w:rFonts w:ascii="Arial" w:hAnsi="Arial"/>
          <w:sz w:val="19"/>
          <w:szCs w:val="19"/>
        </w:rPr>
        <w:t xml:space="preserve"> </w:t>
      </w:r>
      <w:r w:rsidRPr="006A0E2F">
        <w:rPr>
          <w:rFonts w:ascii="Arial" w:hAnsi="Arial"/>
          <w:sz w:val="19"/>
          <w:szCs w:val="19"/>
        </w:rPr>
        <w:t>The Company</w:t>
      </w:r>
      <w:r w:rsidR="00EF114B" w:rsidRPr="006A0E2F">
        <w:rPr>
          <w:rFonts w:ascii="Arial" w:hAnsi="Arial"/>
          <w:sz w:val="19"/>
          <w:szCs w:val="19"/>
        </w:rPr>
        <w:t xml:space="preserve"> has investment in associated company</w:t>
      </w:r>
      <w:r w:rsidR="002B66F3" w:rsidRPr="006A0E2F">
        <w:rPr>
          <w:rFonts w:ascii="Arial" w:hAnsi="Arial"/>
          <w:sz w:val="19"/>
          <w:szCs w:val="19"/>
        </w:rPr>
        <w:t xml:space="preserve"> </w:t>
      </w:r>
      <w:proofErr w:type="gramStart"/>
      <w:r w:rsidR="002B66F3" w:rsidRPr="006A0E2F">
        <w:rPr>
          <w:rFonts w:ascii="Arial" w:hAnsi="Arial"/>
          <w:sz w:val="19"/>
          <w:szCs w:val="19"/>
        </w:rPr>
        <w:t>in order to</w:t>
      </w:r>
      <w:proofErr w:type="gramEnd"/>
      <w:r w:rsidR="002B66F3" w:rsidRPr="006A0E2F">
        <w:rPr>
          <w:rFonts w:ascii="Arial" w:hAnsi="Arial"/>
          <w:sz w:val="19"/>
          <w:szCs w:val="19"/>
        </w:rPr>
        <w:t xml:space="preserve"> invest in such project including</w:t>
      </w:r>
      <w:r w:rsidRPr="006A0E2F">
        <w:rPr>
          <w:rFonts w:ascii="Arial" w:hAnsi="Arial"/>
          <w:sz w:val="19"/>
          <w:szCs w:val="19"/>
        </w:rPr>
        <w:t xml:space="preserve"> trade account receivable, retention receivable</w:t>
      </w:r>
      <w:r w:rsidR="00DF0F6A" w:rsidRPr="006A0E2F">
        <w:rPr>
          <w:rFonts w:ascii="Arial" w:hAnsi="Arial"/>
          <w:sz w:val="19"/>
          <w:szCs w:val="19"/>
        </w:rPr>
        <w:t xml:space="preserve"> and</w:t>
      </w:r>
      <w:r w:rsidRPr="006A0E2F">
        <w:rPr>
          <w:rFonts w:ascii="Arial" w:hAnsi="Arial"/>
          <w:sz w:val="19"/>
          <w:szCs w:val="19"/>
        </w:rPr>
        <w:t xml:space="preserve"> loan</w:t>
      </w:r>
      <w:r w:rsidR="00DF0F6A" w:rsidRPr="006A0E2F">
        <w:rPr>
          <w:rFonts w:ascii="Arial" w:hAnsi="Arial"/>
          <w:sz w:val="19"/>
          <w:szCs w:val="19"/>
        </w:rPr>
        <w:t xml:space="preserve"> to</w:t>
      </w:r>
      <w:r w:rsidR="00EF1D94" w:rsidRPr="006A0E2F">
        <w:rPr>
          <w:rFonts w:ascii="Arial" w:hAnsi="Arial"/>
          <w:sz w:val="19"/>
          <w:szCs w:val="19"/>
        </w:rPr>
        <w:t xml:space="preserve"> associated company</w:t>
      </w:r>
      <w:r w:rsidRPr="006A0E2F">
        <w:rPr>
          <w:rFonts w:ascii="Arial" w:hAnsi="Arial"/>
          <w:sz w:val="19"/>
          <w:szCs w:val="19"/>
        </w:rPr>
        <w:t xml:space="preserve"> totalling of Baht 1,</w:t>
      </w:r>
      <w:r w:rsidR="00EF1D94" w:rsidRPr="006A0E2F">
        <w:rPr>
          <w:rFonts w:ascii="Arial" w:hAnsi="Arial"/>
          <w:sz w:val="19"/>
          <w:szCs w:val="19"/>
          <w:lang w:bidi="th-TH"/>
        </w:rPr>
        <w:t>087</w:t>
      </w:r>
      <w:r w:rsidRPr="006A0E2F">
        <w:rPr>
          <w:rFonts w:ascii="Arial" w:hAnsi="Arial"/>
          <w:sz w:val="19"/>
          <w:szCs w:val="19"/>
          <w:lang w:val="en-US" w:bidi="th-TH"/>
        </w:rPr>
        <w:t>.</w:t>
      </w:r>
      <w:r w:rsidR="00EF1D94" w:rsidRPr="006A0E2F">
        <w:rPr>
          <w:rFonts w:ascii="Arial" w:hAnsi="Arial"/>
          <w:sz w:val="19"/>
          <w:szCs w:val="19"/>
          <w:lang w:val="en-US" w:bidi="th-TH"/>
        </w:rPr>
        <w:t>80</w:t>
      </w:r>
      <w:r w:rsidRPr="006A0E2F">
        <w:rPr>
          <w:rFonts w:ascii="Arial" w:hAnsi="Arial"/>
          <w:sz w:val="19"/>
          <w:szCs w:val="19"/>
        </w:rPr>
        <w:t xml:space="preserve"> million</w:t>
      </w:r>
      <w:r w:rsidRPr="006A0E2F">
        <w:rPr>
          <w:rFonts w:ascii="Arial" w:hAnsi="Arial"/>
          <w:sz w:val="19"/>
          <w:szCs w:val="19"/>
          <w:lang w:val="en-US" w:bidi="th-TH"/>
        </w:rPr>
        <w:t xml:space="preserve">. This associated company has </w:t>
      </w:r>
      <w:r w:rsidRPr="006A0E2F">
        <w:rPr>
          <w:rFonts w:ascii="Arial" w:hAnsi="Arial"/>
          <w:sz w:val="19"/>
          <w:szCs w:val="19"/>
        </w:rPr>
        <w:t xml:space="preserve">obtained the concession right for bauxite mining from the Government of Lao People’s Democratic Republic and has been in </w:t>
      </w:r>
      <w:r w:rsidR="000D5300" w:rsidRPr="006A0E2F">
        <w:rPr>
          <w:rFonts w:ascii="Arial" w:hAnsi="Arial"/>
          <w:sz w:val="19"/>
          <w:szCs w:val="19"/>
        </w:rPr>
        <w:t xml:space="preserve">consideration </w:t>
      </w:r>
      <w:r w:rsidRPr="006A0E2F">
        <w:rPr>
          <w:rFonts w:ascii="Arial" w:hAnsi="Arial"/>
          <w:sz w:val="19"/>
          <w:szCs w:val="19"/>
        </w:rPr>
        <w:t xml:space="preserve">process </w:t>
      </w:r>
      <w:r w:rsidR="003C26E5" w:rsidRPr="006A0E2F">
        <w:rPr>
          <w:rFonts w:ascii="Arial" w:hAnsi="Arial"/>
          <w:sz w:val="19"/>
          <w:szCs w:val="19"/>
        </w:rPr>
        <w:t xml:space="preserve">for approval </w:t>
      </w:r>
      <w:r w:rsidR="00A166F8" w:rsidRPr="006A0E2F">
        <w:rPr>
          <w:rFonts w:ascii="Arial" w:hAnsi="Arial"/>
          <w:sz w:val="19"/>
          <w:szCs w:val="19"/>
        </w:rPr>
        <w:t>of</w:t>
      </w:r>
      <w:r w:rsidRPr="006A0E2F">
        <w:rPr>
          <w:rFonts w:ascii="Arial" w:hAnsi="Arial"/>
          <w:sz w:val="19"/>
          <w:szCs w:val="19"/>
        </w:rPr>
        <w:t xml:space="preserve"> the ESIA Certificate fr</w:t>
      </w:r>
      <w:r w:rsidR="00A166F8" w:rsidRPr="006A0E2F">
        <w:rPr>
          <w:rFonts w:ascii="Arial" w:hAnsi="Arial"/>
          <w:sz w:val="19"/>
          <w:szCs w:val="19"/>
        </w:rPr>
        <w:t xml:space="preserve">om </w:t>
      </w:r>
      <w:r w:rsidR="000D5300" w:rsidRPr="006A0E2F">
        <w:rPr>
          <w:rFonts w:ascii="Arial" w:hAnsi="Arial"/>
          <w:sz w:val="19"/>
          <w:szCs w:val="19"/>
        </w:rPr>
        <w:t>the</w:t>
      </w:r>
      <w:r w:rsidR="00A166F8" w:rsidRPr="006A0E2F">
        <w:rPr>
          <w:rFonts w:ascii="Arial" w:hAnsi="Arial"/>
          <w:sz w:val="19"/>
          <w:szCs w:val="19"/>
        </w:rPr>
        <w:t xml:space="preserve"> </w:t>
      </w:r>
      <w:r w:rsidR="004C235D" w:rsidRPr="006A0E2F">
        <w:rPr>
          <w:rFonts w:ascii="Arial" w:hAnsi="Arial"/>
          <w:sz w:val="19"/>
          <w:szCs w:val="19"/>
        </w:rPr>
        <w:t>au</w:t>
      </w:r>
      <w:r w:rsidR="00595B36" w:rsidRPr="006A0E2F">
        <w:rPr>
          <w:rFonts w:ascii="Arial" w:hAnsi="Arial"/>
          <w:sz w:val="19"/>
          <w:szCs w:val="19"/>
        </w:rPr>
        <w:t>thority</w:t>
      </w:r>
      <w:r w:rsidR="00CC5CCD" w:rsidRPr="006A0E2F">
        <w:rPr>
          <w:rFonts w:ascii="Arial" w:hAnsi="Arial"/>
          <w:sz w:val="19"/>
          <w:szCs w:val="19"/>
        </w:rPr>
        <w:t xml:space="preserve"> ent</w:t>
      </w:r>
      <w:r w:rsidR="001A4892" w:rsidRPr="006A0E2F">
        <w:rPr>
          <w:rFonts w:ascii="Arial" w:hAnsi="Arial"/>
          <w:sz w:val="19"/>
          <w:szCs w:val="19"/>
        </w:rPr>
        <w:t xml:space="preserve">ity </w:t>
      </w:r>
      <w:proofErr w:type="gramStart"/>
      <w:r w:rsidR="001A4892" w:rsidRPr="006A0E2F">
        <w:rPr>
          <w:rFonts w:ascii="Arial" w:hAnsi="Arial"/>
          <w:sz w:val="19"/>
          <w:szCs w:val="19"/>
        </w:rPr>
        <w:t>in order to</w:t>
      </w:r>
      <w:proofErr w:type="gramEnd"/>
      <w:r w:rsidR="001A4892" w:rsidRPr="006A0E2F">
        <w:rPr>
          <w:rFonts w:ascii="Arial" w:hAnsi="Arial"/>
          <w:sz w:val="19"/>
          <w:szCs w:val="19"/>
        </w:rPr>
        <w:t xml:space="preserve"> st</w:t>
      </w:r>
      <w:r w:rsidR="004C0CE9" w:rsidRPr="006A0E2F">
        <w:rPr>
          <w:rFonts w:ascii="Arial" w:hAnsi="Arial"/>
          <w:sz w:val="19"/>
          <w:szCs w:val="19"/>
        </w:rPr>
        <w:t>art</w:t>
      </w:r>
      <w:r w:rsidRPr="006A0E2F">
        <w:rPr>
          <w:rFonts w:ascii="Arial" w:hAnsi="Arial"/>
          <w:sz w:val="19"/>
          <w:szCs w:val="19"/>
        </w:rPr>
        <w:t xml:space="preserve"> the </w:t>
      </w:r>
      <w:r w:rsidR="004468D1" w:rsidRPr="006A0E2F">
        <w:rPr>
          <w:rFonts w:ascii="Arial" w:hAnsi="Arial"/>
          <w:sz w:val="19"/>
          <w:szCs w:val="19"/>
        </w:rPr>
        <w:t xml:space="preserve">construction of </w:t>
      </w:r>
      <w:r w:rsidR="00B17B5F" w:rsidRPr="006A0E2F">
        <w:rPr>
          <w:rFonts w:ascii="Arial" w:hAnsi="Arial"/>
          <w:sz w:val="19"/>
          <w:szCs w:val="19"/>
        </w:rPr>
        <w:t>a</w:t>
      </w:r>
      <w:r w:rsidR="004468D1" w:rsidRPr="006A0E2F">
        <w:rPr>
          <w:rFonts w:ascii="Arial" w:hAnsi="Arial"/>
          <w:sz w:val="19"/>
          <w:szCs w:val="19"/>
        </w:rPr>
        <w:t xml:space="preserve">lumina </w:t>
      </w:r>
      <w:r w:rsidR="00B17B5F" w:rsidRPr="006A0E2F">
        <w:rPr>
          <w:rFonts w:ascii="Arial" w:hAnsi="Arial"/>
          <w:sz w:val="19"/>
          <w:szCs w:val="19"/>
        </w:rPr>
        <w:t>production plan</w:t>
      </w:r>
      <w:r w:rsidR="00AD2F08" w:rsidRPr="006A0E2F">
        <w:rPr>
          <w:rFonts w:ascii="Arial" w:hAnsi="Arial"/>
          <w:sz w:val="19"/>
          <w:szCs w:val="19"/>
        </w:rPr>
        <w:t>t</w:t>
      </w:r>
      <w:r w:rsidRPr="006A0E2F">
        <w:rPr>
          <w:rFonts w:ascii="Arial" w:hAnsi="Arial"/>
          <w:sz w:val="19"/>
          <w:szCs w:val="19"/>
        </w:rPr>
        <w:t>. In addition, the</w:t>
      </w:r>
      <w:r w:rsidR="00595A02" w:rsidRPr="006A0E2F">
        <w:rPr>
          <w:rFonts w:ascii="Arial" w:hAnsi="Arial"/>
          <w:sz w:val="19"/>
          <w:szCs w:val="19"/>
        </w:rPr>
        <w:t xml:space="preserve"> </w:t>
      </w:r>
      <w:r w:rsidRPr="006A0E2F">
        <w:rPr>
          <w:rFonts w:ascii="Arial" w:hAnsi="Arial"/>
          <w:sz w:val="19"/>
          <w:szCs w:val="19"/>
        </w:rPr>
        <w:t>associated company</w:t>
      </w:r>
      <w:r w:rsidR="00595A02" w:rsidRPr="006A0E2F">
        <w:rPr>
          <w:rFonts w:ascii="Arial" w:hAnsi="Arial"/>
          <w:sz w:val="19"/>
          <w:szCs w:val="19"/>
        </w:rPr>
        <w:t>’s management</w:t>
      </w:r>
      <w:r w:rsidRPr="006A0E2F">
        <w:rPr>
          <w:rFonts w:ascii="Arial" w:hAnsi="Arial"/>
          <w:sz w:val="19"/>
          <w:szCs w:val="19"/>
        </w:rPr>
        <w:t xml:space="preserve"> is in the process of negotiating with strategic partner to obtain the project financing for</w:t>
      </w:r>
      <w:r w:rsidRPr="006A0E2F">
        <w:rPr>
          <w:rFonts w:ascii="Arial" w:hAnsi="Arial"/>
          <w:sz w:val="19"/>
          <w:szCs w:val="19"/>
          <w:lang w:bidi="th-TH"/>
        </w:rPr>
        <w:t xml:space="preserve"> </w:t>
      </w:r>
      <w:r w:rsidRPr="006A0E2F">
        <w:rPr>
          <w:rFonts w:ascii="Arial" w:hAnsi="Arial"/>
          <w:sz w:val="19"/>
          <w:szCs w:val="19"/>
          <w:lang w:val="en-US" w:bidi="th-TH"/>
        </w:rPr>
        <w:t>future development of the project</w:t>
      </w:r>
      <w:r w:rsidR="00917103" w:rsidRPr="006A0E2F">
        <w:rPr>
          <w:rFonts w:ascii="Arial" w:hAnsi="Arial"/>
          <w:sz w:val="19"/>
          <w:szCs w:val="19"/>
          <w:lang w:val="en-US" w:bidi="th-TH"/>
        </w:rPr>
        <w:t xml:space="preserve"> since the associated company requires </w:t>
      </w:r>
      <w:r w:rsidR="00653326" w:rsidRPr="006A0E2F">
        <w:rPr>
          <w:rFonts w:ascii="Arial" w:hAnsi="Arial"/>
          <w:sz w:val="19"/>
          <w:szCs w:val="19"/>
          <w:lang w:val="en-US" w:bidi="th-TH"/>
        </w:rPr>
        <w:t>significant amount of investment for the development such project.</w:t>
      </w:r>
      <w:r w:rsidRPr="006A0E2F">
        <w:rPr>
          <w:rFonts w:ascii="Arial" w:hAnsi="Arial"/>
          <w:sz w:val="19"/>
          <w:szCs w:val="19"/>
          <w:lang w:val="en-US" w:bidi="th-TH"/>
        </w:rPr>
        <w:t xml:space="preserve"> </w:t>
      </w:r>
    </w:p>
    <w:p w14:paraId="61DE42D0" w14:textId="77777777" w:rsidR="00923677" w:rsidRPr="006A0E2F" w:rsidRDefault="00923677" w:rsidP="006A0E2F">
      <w:pPr>
        <w:pStyle w:val="ListParagraph"/>
        <w:autoSpaceDE w:val="0"/>
        <w:autoSpaceDN w:val="0"/>
        <w:adjustRightInd w:val="0"/>
        <w:spacing w:after="0" w:line="360" w:lineRule="auto"/>
        <w:ind w:left="851"/>
        <w:jc w:val="thaiDistribute"/>
        <w:rPr>
          <w:rFonts w:ascii="Arial" w:hAnsi="Arial"/>
          <w:sz w:val="19"/>
          <w:szCs w:val="19"/>
          <w:lang w:val="en-US"/>
        </w:rPr>
      </w:pPr>
    </w:p>
    <w:p w14:paraId="11773D89" w14:textId="1C302888" w:rsidR="003E5A33" w:rsidRPr="006A0E2F" w:rsidRDefault="00606085" w:rsidP="006A0E2F">
      <w:pPr>
        <w:pStyle w:val="ListParagraph"/>
        <w:numPr>
          <w:ilvl w:val="0"/>
          <w:numId w:val="31"/>
        </w:numPr>
        <w:autoSpaceDE w:val="0"/>
        <w:autoSpaceDN w:val="0"/>
        <w:adjustRightInd w:val="0"/>
        <w:spacing w:after="0" w:line="360" w:lineRule="auto"/>
        <w:ind w:left="851" w:hanging="425"/>
        <w:jc w:val="thaiDistribute"/>
        <w:rPr>
          <w:rFonts w:ascii="Arial" w:hAnsi="Arial"/>
          <w:sz w:val="19"/>
          <w:szCs w:val="19"/>
          <w:lang w:val="en-US"/>
        </w:rPr>
      </w:pPr>
      <w:r w:rsidRPr="006A0E2F">
        <w:rPr>
          <w:rFonts w:ascii="Arial" w:hAnsi="Arial"/>
          <w:sz w:val="19"/>
          <w:szCs w:val="19"/>
        </w:rPr>
        <w:t>As discussed in Note 1</w:t>
      </w:r>
      <w:r w:rsidR="00741E55" w:rsidRPr="006A0E2F">
        <w:rPr>
          <w:rFonts w:ascii="Arial" w:hAnsi="Arial"/>
          <w:sz w:val="19"/>
          <w:szCs w:val="19"/>
        </w:rPr>
        <w:t>9</w:t>
      </w:r>
      <w:r w:rsidRPr="006A0E2F">
        <w:rPr>
          <w:rFonts w:ascii="Arial" w:hAnsi="Arial"/>
          <w:sz w:val="19"/>
          <w:szCs w:val="19"/>
        </w:rPr>
        <w:t xml:space="preserve"> to the financial statements, the subsidiary company has costs of acquiring rights to survey and development a potash mining project of Baht 2,293.49 million, and costs of survey and mining project development totalling Baht 95</w:t>
      </w:r>
      <w:r w:rsidR="00741E55" w:rsidRPr="006A0E2F">
        <w:rPr>
          <w:rFonts w:ascii="Arial" w:hAnsi="Arial"/>
          <w:sz w:val="19"/>
          <w:szCs w:val="19"/>
        </w:rPr>
        <w:t>3</w:t>
      </w:r>
      <w:r w:rsidRPr="006A0E2F">
        <w:rPr>
          <w:rFonts w:ascii="Arial" w:hAnsi="Arial"/>
          <w:sz w:val="19"/>
          <w:szCs w:val="19"/>
        </w:rPr>
        <w:t>.</w:t>
      </w:r>
      <w:r w:rsidR="00741E55" w:rsidRPr="006A0E2F">
        <w:rPr>
          <w:rFonts w:ascii="Arial" w:hAnsi="Arial"/>
          <w:sz w:val="19"/>
          <w:szCs w:val="19"/>
        </w:rPr>
        <w:t>57</w:t>
      </w:r>
      <w:r w:rsidRPr="006A0E2F">
        <w:rPr>
          <w:rFonts w:ascii="Arial" w:hAnsi="Arial"/>
          <w:sz w:val="19"/>
          <w:szCs w:val="19"/>
        </w:rPr>
        <w:t xml:space="preserve"> million. The application for potash mining concessions is in process of consideration from the government. The Company’s management believes that this project will be approved by the government and will become operational in the future as the process for concessionaire application has been completed. </w:t>
      </w:r>
      <w:r w:rsidR="008D6121" w:rsidRPr="006A0E2F">
        <w:rPr>
          <w:rFonts w:ascii="Arial" w:hAnsi="Arial"/>
          <w:sz w:val="19"/>
          <w:szCs w:val="19"/>
        </w:rPr>
        <w:t>The invest</w:t>
      </w:r>
      <w:proofErr w:type="spellStart"/>
      <w:r w:rsidR="00F93EE2" w:rsidRPr="006A0E2F">
        <w:rPr>
          <w:rFonts w:ascii="Arial" w:hAnsi="Arial"/>
          <w:sz w:val="19"/>
          <w:szCs w:val="24"/>
          <w:lang w:val="en-US" w:bidi="th-TH"/>
        </w:rPr>
        <w:t>ment</w:t>
      </w:r>
      <w:proofErr w:type="spellEnd"/>
      <w:r w:rsidR="001727C4" w:rsidRPr="006A0E2F">
        <w:rPr>
          <w:rFonts w:ascii="Arial" w:hAnsi="Arial"/>
          <w:sz w:val="19"/>
          <w:szCs w:val="24"/>
          <w:lang w:val="en-US" w:bidi="th-TH"/>
        </w:rPr>
        <w:t xml:space="preserve"> in </w:t>
      </w:r>
      <w:r w:rsidR="00C55508" w:rsidRPr="006A0E2F">
        <w:rPr>
          <w:rFonts w:ascii="Arial" w:hAnsi="Arial"/>
          <w:sz w:val="19"/>
          <w:szCs w:val="24"/>
          <w:lang w:val="en-US" w:bidi="th-TH"/>
        </w:rPr>
        <w:t>such</w:t>
      </w:r>
      <w:r w:rsidR="001727C4" w:rsidRPr="006A0E2F">
        <w:rPr>
          <w:rFonts w:ascii="Arial" w:hAnsi="Arial"/>
          <w:sz w:val="19"/>
          <w:szCs w:val="24"/>
          <w:lang w:val="en-US" w:bidi="th-TH"/>
        </w:rPr>
        <w:t xml:space="preserve"> project after obtain</w:t>
      </w:r>
      <w:r w:rsidR="00F743F3" w:rsidRPr="006A0E2F">
        <w:rPr>
          <w:rFonts w:ascii="Arial" w:hAnsi="Arial"/>
          <w:sz w:val="19"/>
          <w:szCs w:val="24"/>
          <w:lang w:val="en-US" w:bidi="th-TH"/>
        </w:rPr>
        <w:t xml:space="preserve">ing the potash mining concessions from the government requires significant </w:t>
      </w:r>
      <w:r w:rsidR="00B7717B" w:rsidRPr="006A0E2F">
        <w:rPr>
          <w:rFonts w:ascii="Arial" w:hAnsi="Arial"/>
          <w:sz w:val="19"/>
          <w:szCs w:val="24"/>
          <w:lang w:val="en-US" w:bidi="th-TH"/>
        </w:rPr>
        <w:t>financing</w:t>
      </w:r>
      <w:r w:rsidR="00F743F3" w:rsidRPr="006A0E2F">
        <w:rPr>
          <w:rFonts w:ascii="Arial" w:hAnsi="Arial"/>
          <w:sz w:val="19"/>
          <w:szCs w:val="24"/>
          <w:lang w:val="en-US" w:bidi="th-TH"/>
        </w:rPr>
        <w:t>.</w:t>
      </w:r>
      <w:r w:rsidR="006B3115" w:rsidRPr="006A0E2F">
        <w:rPr>
          <w:rFonts w:ascii="Arial" w:hAnsi="Arial"/>
          <w:sz w:val="19"/>
          <w:szCs w:val="19"/>
        </w:rPr>
        <w:t xml:space="preserve"> </w:t>
      </w:r>
    </w:p>
    <w:p w14:paraId="26F1724B" w14:textId="7AEF2C02" w:rsidR="003E5A33" w:rsidRDefault="003E5A33"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447836F2" w14:textId="512924A9" w:rsidR="007E1FB9" w:rsidRDefault="007E1FB9"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327056D0" w14:textId="4C29830D" w:rsidR="006A0E2F" w:rsidRDefault="006A0E2F"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6F956A4D" w14:textId="521C1158" w:rsidR="00514B59" w:rsidRDefault="00514B59"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19D24319" w14:textId="3264DFAA" w:rsidR="00514B59" w:rsidRDefault="00514B59"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62E53E78" w14:textId="77777777" w:rsidR="00514B59" w:rsidRDefault="00514B59"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371C317F" w14:textId="77777777" w:rsidR="006A0E2F" w:rsidRDefault="006A0E2F"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13AF1FDB" w14:textId="77777777" w:rsidR="007E1FB9" w:rsidRPr="003E5A33" w:rsidRDefault="007E1FB9"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7311BD8E" w14:textId="4232ACEA" w:rsidR="00676E3E" w:rsidRPr="003E5A33" w:rsidRDefault="00676E3E" w:rsidP="003E5A33">
      <w:pPr>
        <w:pStyle w:val="ListParagraph"/>
        <w:numPr>
          <w:ilvl w:val="0"/>
          <w:numId w:val="31"/>
        </w:numPr>
        <w:autoSpaceDE w:val="0"/>
        <w:autoSpaceDN w:val="0"/>
        <w:adjustRightInd w:val="0"/>
        <w:spacing w:line="360" w:lineRule="auto"/>
        <w:ind w:left="851" w:hanging="425"/>
        <w:jc w:val="thaiDistribute"/>
        <w:rPr>
          <w:rFonts w:asciiTheme="majorHAnsi" w:hAnsiTheme="majorHAnsi" w:cstheme="majorHAnsi"/>
          <w:sz w:val="19"/>
          <w:szCs w:val="19"/>
          <w:lang w:val="en-US"/>
        </w:rPr>
      </w:pPr>
      <w:r w:rsidRPr="003E5A33">
        <w:rPr>
          <w:rFonts w:asciiTheme="majorHAnsi" w:hAnsiTheme="majorHAnsi" w:cstheme="majorHAnsi"/>
          <w:sz w:val="19"/>
          <w:szCs w:val="19"/>
        </w:rPr>
        <w:lastRenderedPageBreak/>
        <w:t xml:space="preserve">As discussed in Note </w:t>
      </w:r>
      <w:r w:rsidR="007A5793">
        <w:rPr>
          <w:rFonts w:asciiTheme="majorHAnsi" w:hAnsiTheme="majorHAnsi" w:cstheme="majorHAnsi"/>
          <w:sz w:val="19"/>
          <w:szCs w:val="19"/>
        </w:rPr>
        <w:t>26</w:t>
      </w:r>
      <w:r w:rsidRPr="003E5A33">
        <w:rPr>
          <w:rFonts w:asciiTheme="majorHAnsi" w:hAnsiTheme="majorHAnsi" w:cstheme="majorHAnsi"/>
          <w:sz w:val="19"/>
          <w:szCs w:val="19"/>
        </w:rPr>
        <w:t xml:space="preserve"> to the financial statements, the consolidated and separate financial statements included deferred concession costs and costs of project under development in the Republic of Mozambique of Baht 2,2</w:t>
      </w:r>
      <w:r w:rsidR="007A5793">
        <w:rPr>
          <w:rFonts w:asciiTheme="majorHAnsi" w:hAnsiTheme="majorHAnsi" w:cstheme="majorHAnsi"/>
          <w:sz w:val="19"/>
          <w:szCs w:val="19"/>
        </w:rPr>
        <w:t>84</w:t>
      </w:r>
      <w:r w:rsidRPr="003E5A33">
        <w:rPr>
          <w:rFonts w:asciiTheme="majorHAnsi" w:hAnsiTheme="majorHAnsi" w:cstheme="majorHAnsi"/>
          <w:sz w:val="19"/>
          <w:szCs w:val="19"/>
        </w:rPr>
        <w:t>.</w:t>
      </w:r>
      <w:r w:rsidR="007A5793">
        <w:rPr>
          <w:rFonts w:asciiTheme="majorHAnsi" w:hAnsiTheme="majorHAnsi" w:cstheme="majorHAnsi"/>
          <w:sz w:val="19"/>
          <w:szCs w:val="19"/>
        </w:rPr>
        <w:t>28</w:t>
      </w:r>
      <w:r w:rsidRPr="003E5A33">
        <w:rPr>
          <w:rFonts w:asciiTheme="majorHAnsi" w:hAnsiTheme="majorHAnsi" w:cstheme="majorHAnsi"/>
          <w:sz w:val="19"/>
          <w:szCs w:val="19"/>
        </w:rPr>
        <w:t xml:space="preserve"> million and Baht 1,9</w:t>
      </w:r>
      <w:r w:rsidR="007A5793">
        <w:rPr>
          <w:rFonts w:asciiTheme="majorHAnsi" w:hAnsiTheme="majorHAnsi" w:cstheme="majorHAnsi"/>
          <w:sz w:val="19"/>
          <w:szCs w:val="19"/>
        </w:rPr>
        <w:t>93</w:t>
      </w:r>
      <w:r w:rsidRPr="003E5A33">
        <w:rPr>
          <w:rFonts w:asciiTheme="majorHAnsi" w:hAnsiTheme="majorHAnsi" w:cstheme="majorHAnsi"/>
          <w:sz w:val="19"/>
          <w:szCs w:val="19"/>
        </w:rPr>
        <w:t>.</w:t>
      </w:r>
      <w:r w:rsidR="007A5793">
        <w:rPr>
          <w:rFonts w:asciiTheme="majorHAnsi" w:hAnsiTheme="majorHAnsi" w:cstheme="majorHAnsi"/>
          <w:sz w:val="19"/>
          <w:szCs w:val="19"/>
        </w:rPr>
        <w:t>23</w:t>
      </w:r>
      <w:r w:rsidRPr="003E5A33">
        <w:rPr>
          <w:rFonts w:asciiTheme="majorHAnsi" w:hAnsiTheme="majorHAnsi" w:cstheme="majorHAnsi"/>
          <w:sz w:val="19"/>
          <w:szCs w:val="19"/>
        </w:rPr>
        <w:t xml:space="preserve"> million, respectively. Such amounts represent costs for the concession right and development costs for construction of a Heavy Haul Railway Lines and construction of a Deep</w:t>
      </w:r>
      <w:r w:rsidR="009A378F">
        <w:rPr>
          <w:rFonts w:asciiTheme="majorHAnsi" w:hAnsiTheme="majorHAnsi" w:cstheme="majorHAnsi"/>
          <w:sz w:val="19"/>
          <w:szCs w:val="19"/>
        </w:rPr>
        <w:t xml:space="preserve"> </w:t>
      </w:r>
      <w:r w:rsidRPr="003E5A33">
        <w:rPr>
          <w:rFonts w:asciiTheme="majorHAnsi" w:hAnsiTheme="majorHAnsi" w:cstheme="majorHAnsi"/>
          <w:sz w:val="19"/>
          <w:szCs w:val="19"/>
        </w:rPr>
        <w:t>-</w:t>
      </w:r>
      <w:r w:rsidR="009A378F">
        <w:rPr>
          <w:rFonts w:asciiTheme="majorHAnsi" w:hAnsiTheme="majorHAnsi" w:cstheme="majorHAnsi"/>
          <w:sz w:val="19"/>
          <w:szCs w:val="19"/>
        </w:rPr>
        <w:t xml:space="preserve"> </w:t>
      </w:r>
      <w:r w:rsidRPr="003E5A33">
        <w:rPr>
          <w:rFonts w:asciiTheme="majorHAnsi" w:hAnsiTheme="majorHAnsi" w:cstheme="majorHAnsi"/>
          <w:sz w:val="19"/>
          <w:szCs w:val="19"/>
        </w:rPr>
        <w:t>Sea Port which the subsidiary company obtained from the Government of the Republic of Mozambique. The progress of such project under development is dependent on the negotiation with a strategic partner in the future as well as the approval for the project finance from the financial institution.</w:t>
      </w:r>
      <w:r w:rsidRPr="003E5A33">
        <w:rPr>
          <w:rFonts w:asciiTheme="majorHAnsi" w:hAnsiTheme="majorHAnsi" w:cstheme="majorHAnsi"/>
          <w:sz w:val="19"/>
          <w:szCs w:val="19"/>
          <w:lang w:val="en-US" w:bidi="th-TH"/>
        </w:rPr>
        <w:t xml:space="preserve"> </w:t>
      </w:r>
    </w:p>
    <w:p w14:paraId="1382AC27" w14:textId="77777777" w:rsidR="00367B2C" w:rsidRPr="00367B2C" w:rsidRDefault="00367B2C" w:rsidP="00367B2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25301209" w14:textId="65D8456D" w:rsidR="00C20987" w:rsidRPr="00C20987" w:rsidRDefault="001A150E" w:rsidP="00C20987">
      <w:pPr>
        <w:pStyle w:val="ListParagraph"/>
        <w:numPr>
          <w:ilvl w:val="0"/>
          <w:numId w:val="28"/>
        </w:numPr>
        <w:autoSpaceDE w:val="0"/>
        <w:autoSpaceDN w:val="0"/>
        <w:adjustRightInd w:val="0"/>
        <w:spacing w:line="360" w:lineRule="auto"/>
        <w:ind w:left="426" w:hanging="426"/>
        <w:jc w:val="thaiDistribute"/>
        <w:rPr>
          <w:rFonts w:asciiTheme="majorHAnsi" w:hAnsiTheme="majorHAnsi" w:cstheme="majorHAnsi"/>
          <w:sz w:val="19"/>
          <w:szCs w:val="19"/>
          <w:lang w:val="en-US"/>
        </w:rPr>
      </w:pPr>
      <w:r w:rsidRPr="001A150E">
        <w:rPr>
          <w:rFonts w:asciiTheme="majorHAnsi" w:hAnsiTheme="majorHAnsi" w:cstheme="majorHAnsi"/>
          <w:sz w:val="19"/>
          <w:szCs w:val="19"/>
        </w:rPr>
        <w:t xml:space="preserve">I had previously expressed a qualified opinion on the consolidated financial statements for the year 2019 in respect of the doubtful collection of trade accounts receivable of an overseas subsidiary of Baht 238.46 million (net allowance for </w:t>
      </w:r>
      <w:r w:rsidR="00111332">
        <w:rPr>
          <w:rFonts w:asciiTheme="majorHAnsi" w:hAnsiTheme="majorHAnsi" w:cs="Browallia New"/>
          <w:sz w:val="19"/>
          <w:szCs w:val="24"/>
          <w:lang w:bidi="th-TH"/>
        </w:rPr>
        <w:t xml:space="preserve">impairment loss </w:t>
      </w:r>
      <w:r w:rsidRPr="001A150E">
        <w:rPr>
          <w:rFonts w:asciiTheme="majorHAnsi" w:hAnsiTheme="majorHAnsi" w:cstheme="majorHAnsi"/>
          <w:sz w:val="19"/>
          <w:szCs w:val="19"/>
        </w:rPr>
        <w:t>of Baht 46.04 million) which was in process of collection under a debt settlement plan. At present, such debtor, is unable to fulfil its commitment as planned and has requested to extend the debt settlement plan since it has been facing with the project operating problem caused by the effect of Corona</w:t>
      </w:r>
      <w:r w:rsidR="002D4286">
        <w:rPr>
          <w:rFonts w:asciiTheme="majorHAnsi" w:hAnsiTheme="majorHAnsi" w:cstheme="majorHAnsi"/>
          <w:sz w:val="19"/>
          <w:szCs w:val="19"/>
        </w:rPr>
        <w:t xml:space="preserve"> virus</w:t>
      </w:r>
      <w:r w:rsidRPr="001A150E">
        <w:rPr>
          <w:rFonts w:asciiTheme="majorHAnsi" w:hAnsiTheme="majorHAnsi" w:cstheme="majorHAnsi"/>
          <w:sz w:val="19"/>
          <w:szCs w:val="19"/>
        </w:rPr>
        <w:t xml:space="preserve"> 2019 pandemic. The management of subsidiary company had reassessed to have higher degree of doubt about the collection of such receivable, and therefore considered to recognize the full allowance for impairment loss which affected the consolidated statements of profit or loss for the </w:t>
      </w:r>
      <w:r w:rsidR="00C20987">
        <w:rPr>
          <w:rFonts w:asciiTheme="majorHAnsi" w:hAnsiTheme="majorHAnsi" w:cstheme="majorHAnsi"/>
          <w:sz w:val="19"/>
          <w:szCs w:val="19"/>
        </w:rPr>
        <w:t>year</w:t>
      </w:r>
      <w:r w:rsidRPr="001A150E">
        <w:rPr>
          <w:rFonts w:asciiTheme="majorHAnsi" w:hAnsiTheme="majorHAnsi" w:cstheme="majorHAnsi"/>
          <w:sz w:val="19"/>
          <w:szCs w:val="19"/>
        </w:rPr>
        <w:t xml:space="preserve"> ended 3</w:t>
      </w:r>
      <w:r w:rsidR="009B67B2">
        <w:rPr>
          <w:rFonts w:asciiTheme="majorHAnsi" w:hAnsiTheme="majorHAnsi" w:cs="Browallia New"/>
          <w:sz w:val="19"/>
          <w:szCs w:val="24"/>
          <w:lang w:val="en-US" w:bidi="th-TH"/>
        </w:rPr>
        <w:t>1 December 2020</w:t>
      </w:r>
      <w:r w:rsidRPr="001A150E">
        <w:rPr>
          <w:rFonts w:asciiTheme="majorHAnsi" w:hAnsiTheme="majorHAnsi" w:cstheme="majorHAnsi"/>
          <w:sz w:val="19"/>
          <w:szCs w:val="19"/>
        </w:rPr>
        <w:t xml:space="preserve"> as discussed in Note </w:t>
      </w:r>
      <w:r w:rsidR="009B67B2">
        <w:rPr>
          <w:rFonts w:asciiTheme="majorHAnsi" w:hAnsiTheme="majorHAnsi" w:cstheme="majorHAnsi"/>
          <w:sz w:val="19"/>
          <w:szCs w:val="19"/>
        </w:rPr>
        <w:t>9</w:t>
      </w:r>
      <w:r w:rsidRPr="001A150E">
        <w:rPr>
          <w:rFonts w:asciiTheme="majorHAnsi" w:hAnsiTheme="majorHAnsi" w:cstheme="majorHAnsi"/>
          <w:sz w:val="19"/>
          <w:szCs w:val="19"/>
        </w:rPr>
        <w:t xml:space="preserve"> to the financial statements. </w:t>
      </w:r>
    </w:p>
    <w:p w14:paraId="27AB9A2B" w14:textId="77777777" w:rsidR="00C20987" w:rsidRPr="00C20987" w:rsidRDefault="00C20987" w:rsidP="00C20987">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2DA7A35D" w14:textId="0F5DA7D0" w:rsidR="0089449C" w:rsidRDefault="001A150E" w:rsidP="0089449C">
      <w:pPr>
        <w:pStyle w:val="ListParagraph"/>
        <w:numPr>
          <w:ilvl w:val="0"/>
          <w:numId w:val="28"/>
        </w:numPr>
        <w:autoSpaceDE w:val="0"/>
        <w:autoSpaceDN w:val="0"/>
        <w:adjustRightInd w:val="0"/>
        <w:spacing w:line="360" w:lineRule="auto"/>
        <w:ind w:left="426" w:hanging="426"/>
        <w:jc w:val="thaiDistribute"/>
        <w:rPr>
          <w:rFonts w:asciiTheme="majorHAnsi" w:hAnsiTheme="majorHAnsi" w:cstheme="majorHAnsi"/>
          <w:sz w:val="19"/>
          <w:szCs w:val="19"/>
          <w:lang w:val="en-US"/>
        </w:rPr>
      </w:pPr>
      <w:r w:rsidRPr="00C20987">
        <w:rPr>
          <w:rFonts w:asciiTheme="majorHAnsi" w:hAnsiTheme="majorHAnsi" w:cstheme="majorHAnsi"/>
          <w:sz w:val="19"/>
          <w:szCs w:val="19"/>
        </w:rPr>
        <w:t>I had previously expressed a qualified opinion on the consolidated financial statements for the year 2019 in respect of the doubtful collection</w:t>
      </w:r>
      <w:r w:rsidRPr="00C20987">
        <w:rPr>
          <w:rFonts w:asciiTheme="majorHAnsi" w:hAnsiTheme="majorHAnsi" w:cstheme="majorHAnsi"/>
          <w:sz w:val="19"/>
          <w:szCs w:val="19"/>
          <w:lang w:val="en-US"/>
        </w:rPr>
        <w:t xml:space="preserve"> of</w:t>
      </w:r>
      <w:r w:rsidRPr="00C20987">
        <w:rPr>
          <w:rFonts w:asciiTheme="majorHAnsi" w:hAnsiTheme="majorHAnsi" w:cstheme="majorHAnsi"/>
          <w:sz w:val="19"/>
          <w:szCs w:val="19"/>
          <w:cs/>
          <w:lang w:val="en-US" w:bidi="th-TH"/>
        </w:rPr>
        <w:t xml:space="preserve"> </w:t>
      </w:r>
      <w:r w:rsidRPr="00C20987">
        <w:rPr>
          <w:rFonts w:asciiTheme="majorHAnsi" w:hAnsiTheme="majorHAnsi" w:cstheme="majorHAnsi"/>
          <w:sz w:val="19"/>
          <w:szCs w:val="19"/>
          <w:lang w:val="en-US" w:bidi="th-TH"/>
        </w:rPr>
        <w:t xml:space="preserve">trade accounts receivable and </w:t>
      </w:r>
      <w:r w:rsidRPr="00C20987">
        <w:rPr>
          <w:rFonts w:asciiTheme="majorHAnsi" w:hAnsiTheme="majorHAnsi" w:cstheme="majorHAnsi"/>
          <w:sz w:val="19"/>
          <w:szCs w:val="19"/>
          <w:lang w:val="en-US"/>
        </w:rPr>
        <w:t>earned revenues not yet billed of an overseas subsidiary of Baht 121.55 million and Baht 63.48 million, respectively. T</w:t>
      </w:r>
      <w:r w:rsidRPr="00C20987">
        <w:rPr>
          <w:rFonts w:asciiTheme="majorHAnsi" w:hAnsiTheme="majorHAnsi" w:cstheme="majorHAnsi"/>
          <w:sz w:val="19"/>
          <w:szCs w:val="19"/>
          <w:lang w:val="en-US" w:bidi="th-TH"/>
        </w:rPr>
        <w:t>he subsidiary’s management has negotiated/discussed</w:t>
      </w:r>
      <w:r w:rsidRPr="00C20987">
        <w:rPr>
          <w:rFonts w:asciiTheme="majorHAnsi" w:hAnsiTheme="majorHAnsi" w:cstheme="majorHAnsi"/>
          <w:sz w:val="19"/>
          <w:szCs w:val="19"/>
          <w:lang w:val="en-US"/>
        </w:rPr>
        <w:t xml:space="preserve"> with the debtor for debt collection and for the financial support from the group companies of the debtor to provide financial support to complete the construction project. However, such negotiation/discussion has not been approved from the Board of Director</w:t>
      </w:r>
      <w:r w:rsidR="00C61DCE">
        <w:rPr>
          <w:rFonts w:asciiTheme="majorHAnsi" w:hAnsiTheme="majorHAnsi" w:cstheme="majorHAnsi"/>
          <w:sz w:val="19"/>
          <w:szCs w:val="19"/>
          <w:lang w:val="en-US"/>
        </w:rPr>
        <w:t xml:space="preserve"> of</w:t>
      </w:r>
      <w:r w:rsidRPr="00C20987">
        <w:rPr>
          <w:rFonts w:asciiTheme="majorHAnsi" w:hAnsiTheme="majorHAnsi" w:cstheme="majorHAnsi"/>
          <w:sz w:val="19"/>
          <w:szCs w:val="19"/>
          <w:lang w:val="en-US"/>
        </w:rPr>
        <w:t xml:space="preserve"> the group compan</w:t>
      </w:r>
      <w:r w:rsidR="00500F96">
        <w:rPr>
          <w:rFonts w:asciiTheme="majorHAnsi" w:hAnsiTheme="majorHAnsi" w:cs="Browallia New"/>
          <w:sz w:val="19"/>
          <w:szCs w:val="24"/>
          <w:lang w:val="en-US" w:bidi="th-TH"/>
        </w:rPr>
        <w:t>ies</w:t>
      </w:r>
      <w:r w:rsidRPr="00C20987">
        <w:rPr>
          <w:rFonts w:asciiTheme="majorHAnsi" w:hAnsiTheme="majorHAnsi" w:cstheme="majorHAnsi"/>
          <w:sz w:val="19"/>
          <w:szCs w:val="19"/>
          <w:lang w:val="en-US"/>
        </w:rPr>
        <w:t xml:space="preserve"> of the debtor. The management of subsidiary company therefore considered r</w:t>
      </w:r>
      <w:r w:rsidRPr="00C20987">
        <w:rPr>
          <w:rFonts w:asciiTheme="majorHAnsi" w:hAnsiTheme="majorHAnsi" w:cstheme="majorHAnsi"/>
          <w:sz w:val="19"/>
          <w:szCs w:val="19"/>
          <w:lang w:val="en-US" w:bidi="th-TH"/>
        </w:rPr>
        <w:t xml:space="preserve">ecognizing impairment loss for the full amount of such receivable which affected the consolidated statements </w:t>
      </w:r>
      <w:r w:rsidRPr="00C20987">
        <w:rPr>
          <w:rFonts w:asciiTheme="majorHAnsi" w:hAnsiTheme="majorHAnsi" w:cs="Browallia New"/>
          <w:sz w:val="19"/>
          <w:szCs w:val="24"/>
          <w:lang w:val="en-US" w:bidi="th-TH"/>
        </w:rPr>
        <w:t xml:space="preserve">of profit or loss </w:t>
      </w:r>
      <w:r w:rsidRPr="00C20987">
        <w:rPr>
          <w:rFonts w:asciiTheme="majorHAnsi" w:hAnsiTheme="majorHAnsi" w:cstheme="majorHAnsi"/>
          <w:sz w:val="19"/>
          <w:szCs w:val="19"/>
          <w:lang w:val="en-US" w:bidi="th-TH"/>
        </w:rPr>
        <w:t xml:space="preserve">for the </w:t>
      </w:r>
      <w:r w:rsidR="00692DE7">
        <w:rPr>
          <w:rFonts w:asciiTheme="majorHAnsi" w:hAnsiTheme="majorHAnsi" w:cstheme="majorHAnsi"/>
          <w:sz w:val="19"/>
          <w:szCs w:val="19"/>
          <w:lang w:val="en-US" w:bidi="th-TH"/>
        </w:rPr>
        <w:t xml:space="preserve">year </w:t>
      </w:r>
      <w:r w:rsidRPr="00C20987">
        <w:rPr>
          <w:rFonts w:asciiTheme="majorHAnsi" w:hAnsiTheme="majorHAnsi" w:cstheme="majorHAnsi"/>
          <w:sz w:val="19"/>
          <w:szCs w:val="19"/>
          <w:lang w:val="en-US" w:bidi="th-TH"/>
        </w:rPr>
        <w:t>ended 3</w:t>
      </w:r>
      <w:r w:rsidR="00692DE7">
        <w:rPr>
          <w:rFonts w:asciiTheme="majorHAnsi" w:hAnsiTheme="majorHAnsi" w:cstheme="majorHAnsi"/>
          <w:sz w:val="19"/>
          <w:szCs w:val="19"/>
          <w:lang w:val="en-US" w:bidi="th-TH"/>
        </w:rPr>
        <w:t xml:space="preserve">1 December </w:t>
      </w:r>
      <w:r w:rsidRPr="00C20987">
        <w:rPr>
          <w:rFonts w:asciiTheme="majorHAnsi" w:hAnsiTheme="majorHAnsi" w:cstheme="majorHAnsi"/>
          <w:sz w:val="19"/>
          <w:szCs w:val="19"/>
          <w:lang w:val="en-US" w:bidi="th-TH"/>
        </w:rPr>
        <w:t xml:space="preserve">2020 as discussed in Note </w:t>
      </w:r>
      <w:r w:rsidR="00692DE7">
        <w:rPr>
          <w:rFonts w:asciiTheme="majorHAnsi" w:hAnsiTheme="majorHAnsi" w:cstheme="majorHAnsi"/>
          <w:sz w:val="19"/>
          <w:szCs w:val="19"/>
          <w:lang w:val="en-US" w:bidi="th-TH"/>
        </w:rPr>
        <w:t>9</w:t>
      </w:r>
      <w:r w:rsidRPr="00C20987">
        <w:rPr>
          <w:rFonts w:asciiTheme="majorHAnsi" w:hAnsiTheme="majorHAnsi" w:cstheme="majorHAnsi"/>
          <w:sz w:val="19"/>
          <w:szCs w:val="19"/>
          <w:lang w:val="en-US" w:bidi="th-TH"/>
        </w:rPr>
        <w:t xml:space="preserve"> to the financial statement.</w:t>
      </w:r>
    </w:p>
    <w:p w14:paraId="22677CF1" w14:textId="4065D17A" w:rsidR="0089449C" w:rsidRDefault="0089449C"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1D2202A6" w14:textId="3CCC5F2A" w:rsidR="007E1FB9" w:rsidRDefault="007E1FB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076BA554" w14:textId="47B23D8A" w:rsidR="007E1FB9" w:rsidRDefault="007E1FB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1BEFAF8D" w14:textId="552E7496" w:rsidR="007E1FB9" w:rsidRDefault="007E1FB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723B7974" w14:textId="6EAF449C" w:rsidR="007E1FB9" w:rsidRDefault="007E1FB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54E7FD0C" w14:textId="0F9A66E6" w:rsidR="007E1FB9" w:rsidRDefault="007E1FB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316A4F36" w14:textId="566D934C" w:rsidR="00514B59" w:rsidRDefault="00514B5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44B8ABCB" w14:textId="7BA354C6" w:rsidR="00514B59" w:rsidRDefault="00514B5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43F81B74" w14:textId="2041FDCB" w:rsidR="00514B59" w:rsidRDefault="00514B5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1EB2279F" w14:textId="77777777" w:rsidR="00514B59" w:rsidRDefault="00514B5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4F21A763" w14:textId="591F6D63" w:rsidR="007E1FB9" w:rsidRDefault="007E1FB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25B44270" w14:textId="77777777" w:rsidR="007E1FB9" w:rsidRDefault="007E1FB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77EC83F9" w14:textId="16AF1230" w:rsidR="00340156" w:rsidRPr="00340156" w:rsidRDefault="0089449C" w:rsidP="00340156">
      <w:pPr>
        <w:pStyle w:val="ListParagraph"/>
        <w:numPr>
          <w:ilvl w:val="0"/>
          <w:numId w:val="28"/>
        </w:numPr>
        <w:autoSpaceDE w:val="0"/>
        <w:autoSpaceDN w:val="0"/>
        <w:adjustRightInd w:val="0"/>
        <w:spacing w:line="360" w:lineRule="auto"/>
        <w:ind w:left="426" w:hanging="426"/>
        <w:jc w:val="thaiDistribute"/>
        <w:rPr>
          <w:rFonts w:asciiTheme="majorHAnsi" w:hAnsiTheme="majorHAnsi" w:cstheme="majorHAnsi"/>
          <w:sz w:val="19"/>
          <w:szCs w:val="19"/>
          <w:lang w:val="en-US"/>
        </w:rPr>
      </w:pPr>
      <w:r w:rsidRPr="0089449C">
        <w:rPr>
          <w:rFonts w:asciiTheme="majorHAnsi" w:hAnsiTheme="majorHAnsi" w:cstheme="majorHAnsi"/>
          <w:sz w:val="19"/>
          <w:szCs w:val="19"/>
        </w:rPr>
        <w:lastRenderedPageBreak/>
        <w:t xml:space="preserve">As discussed in Note </w:t>
      </w:r>
      <w:r w:rsidR="00ED353D">
        <w:rPr>
          <w:rFonts w:asciiTheme="majorHAnsi" w:hAnsiTheme="majorHAnsi" w:cstheme="majorHAnsi"/>
          <w:sz w:val="19"/>
          <w:szCs w:val="19"/>
        </w:rPr>
        <w:t>12.1</w:t>
      </w:r>
      <w:r w:rsidRPr="0089449C">
        <w:rPr>
          <w:rFonts w:asciiTheme="majorHAnsi" w:hAnsiTheme="majorHAnsi" w:cstheme="majorHAnsi"/>
          <w:sz w:val="19"/>
          <w:szCs w:val="19"/>
        </w:rPr>
        <w:t xml:space="preserve"> to the financial statements, the consolidated financial statements as </w:t>
      </w:r>
      <w:proofErr w:type="gramStart"/>
      <w:r w:rsidRPr="0089449C">
        <w:rPr>
          <w:rFonts w:asciiTheme="majorHAnsi" w:hAnsiTheme="majorHAnsi" w:cstheme="majorHAnsi"/>
          <w:sz w:val="19"/>
          <w:szCs w:val="19"/>
        </w:rPr>
        <w:t>at</w:t>
      </w:r>
      <w:proofErr w:type="gramEnd"/>
      <w:r w:rsidRPr="0089449C">
        <w:rPr>
          <w:rFonts w:asciiTheme="majorHAnsi" w:hAnsiTheme="majorHAnsi" w:cstheme="majorHAnsi"/>
          <w:sz w:val="19"/>
          <w:szCs w:val="19"/>
        </w:rPr>
        <w:t xml:space="preserve"> 3</w:t>
      </w:r>
      <w:r w:rsidR="00D0451C">
        <w:rPr>
          <w:rFonts w:asciiTheme="majorHAnsi" w:hAnsiTheme="majorHAnsi" w:cstheme="majorHAnsi"/>
          <w:sz w:val="19"/>
          <w:szCs w:val="19"/>
        </w:rPr>
        <w:t xml:space="preserve">1 December </w:t>
      </w:r>
      <w:r w:rsidRPr="0089449C">
        <w:rPr>
          <w:rFonts w:asciiTheme="majorHAnsi" w:hAnsiTheme="majorHAnsi" w:cstheme="majorHAnsi"/>
          <w:sz w:val="19"/>
          <w:szCs w:val="19"/>
        </w:rPr>
        <w:t>2020 include</w:t>
      </w:r>
      <w:r w:rsidRPr="0089449C">
        <w:rPr>
          <w:rFonts w:asciiTheme="majorHAnsi" w:hAnsiTheme="majorHAnsi" w:cstheme="minorBidi" w:hint="cs"/>
          <w:sz w:val="19"/>
          <w:szCs w:val="24"/>
          <w:cs/>
          <w:lang w:bidi="th-TH"/>
        </w:rPr>
        <w:t xml:space="preserve"> </w:t>
      </w:r>
      <w:r w:rsidRPr="0089449C">
        <w:rPr>
          <w:rFonts w:asciiTheme="majorHAnsi" w:hAnsiTheme="majorHAnsi" w:cstheme="minorBidi"/>
          <w:sz w:val="19"/>
          <w:szCs w:val="24"/>
          <w:lang w:val="en-US" w:bidi="th-TH"/>
        </w:rPr>
        <w:t xml:space="preserve">the Company’s portion of </w:t>
      </w:r>
      <w:r w:rsidRPr="0089449C">
        <w:rPr>
          <w:rFonts w:asciiTheme="majorHAnsi" w:hAnsiTheme="majorHAnsi" w:cstheme="majorHAnsi"/>
          <w:sz w:val="19"/>
          <w:szCs w:val="19"/>
        </w:rPr>
        <w:t>earned revenues not yet billed of</w:t>
      </w:r>
      <w:r w:rsidRPr="0089449C">
        <w:rPr>
          <w:rFonts w:asciiTheme="majorHAnsi" w:hAnsiTheme="majorHAnsi" w:cstheme="minorBidi" w:hint="cs"/>
          <w:sz w:val="19"/>
          <w:szCs w:val="24"/>
          <w:cs/>
          <w:lang w:bidi="th-TH"/>
        </w:rPr>
        <w:t xml:space="preserve"> </w:t>
      </w:r>
      <w:r w:rsidRPr="0089449C">
        <w:rPr>
          <w:rFonts w:asciiTheme="majorHAnsi" w:hAnsiTheme="majorHAnsi" w:cstheme="majorHAnsi"/>
          <w:sz w:val="19"/>
          <w:szCs w:val="19"/>
        </w:rPr>
        <w:t>Baht 2</w:t>
      </w:r>
      <w:r w:rsidR="00E51C35">
        <w:rPr>
          <w:rFonts w:asciiTheme="majorHAnsi" w:hAnsiTheme="majorHAnsi" w:cstheme="majorHAnsi"/>
          <w:sz w:val="19"/>
          <w:szCs w:val="19"/>
        </w:rPr>
        <w:t>76.94</w:t>
      </w:r>
      <w:r w:rsidRPr="0089449C">
        <w:rPr>
          <w:rFonts w:asciiTheme="majorHAnsi" w:hAnsiTheme="majorHAnsi" w:cstheme="majorHAnsi"/>
          <w:sz w:val="19"/>
          <w:szCs w:val="19"/>
        </w:rPr>
        <w:t xml:space="preserve"> million</w:t>
      </w:r>
      <w:r w:rsidRPr="0089449C">
        <w:rPr>
          <w:rFonts w:asciiTheme="majorHAnsi" w:hAnsiTheme="majorHAnsi" w:cstheme="minorBidi" w:hint="cs"/>
          <w:sz w:val="19"/>
          <w:szCs w:val="24"/>
          <w:cs/>
          <w:lang w:bidi="th-TH"/>
        </w:rPr>
        <w:t xml:space="preserve"> </w:t>
      </w:r>
      <w:r w:rsidRPr="0089449C">
        <w:rPr>
          <w:rFonts w:asciiTheme="majorHAnsi" w:hAnsiTheme="majorHAnsi" w:cstheme="minorBidi"/>
          <w:sz w:val="19"/>
          <w:szCs w:val="24"/>
          <w:lang w:val="en-US" w:bidi="th-TH"/>
        </w:rPr>
        <w:t>for</w:t>
      </w:r>
      <w:r w:rsidRPr="0089449C">
        <w:rPr>
          <w:rFonts w:asciiTheme="majorHAnsi" w:hAnsiTheme="majorHAnsi" w:cstheme="majorHAnsi"/>
          <w:sz w:val="19"/>
          <w:szCs w:val="19"/>
        </w:rPr>
        <w:t xml:space="preserve"> a construction project with a State Enterprise of an overseas joint venture between the Company and an overseas subsidiary. The Joint Venture has completed the construction work in previous years and received the Taking Over Certificate from the project owner but has not been able to issue billing for the final work done. The joint venture has submitted the Statement of Completion to the project owner for issuing the Final Completion Certificate to enable it to issue billing for the work done. The recoverability of such earned revenues not yet billed is dependent on the outcome from the negotiation with the project owner which cannot presently be concluded caused by the Corona </w:t>
      </w:r>
      <w:r w:rsidR="00B96389">
        <w:rPr>
          <w:rFonts w:asciiTheme="majorHAnsi" w:hAnsiTheme="majorHAnsi" w:cstheme="majorHAnsi"/>
          <w:sz w:val="19"/>
          <w:szCs w:val="19"/>
        </w:rPr>
        <w:t xml:space="preserve">virus </w:t>
      </w:r>
      <w:r w:rsidRPr="0089449C">
        <w:rPr>
          <w:rFonts w:asciiTheme="majorHAnsi" w:hAnsiTheme="majorHAnsi" w:cstheme="majorHAnsi"/>
          <w:sz w:val="19"/>
          <w:szCs w:val="19"/>
        </w:rPr>
        <w:t xml:space="preserve">2019 pandemic situation. However, the joint venture’s management is confident to get the final bill certification and will be able to collect the </w:t>
      </w:r>
      <w:r w:rsidR="00D2135D">
        <w:rPr>
          <w:rFonts w:asciiTheme="majorHAnsi" w:hAnsiTheme="majorHAnsi" w:cstheme="majorHAnsi"/>
          <w:sz w:val="19"/>
          <w:szCs w:val="19"/>
        </w:rPr>
        <w:t xml:space="preserve">full </w:t>
      </w:r>
      <w:r w:rsidRPr="0089449C">
        <w:rPr>
          <w:rFonts w:asciiTheme="majorHAnsi" w:hAnsiTheme="majorHAnsi" w:cstheme="majorHAnsi"/>
          <w:sz w:val="19"/>
          <w:szCs w:val="19"/>
        </w:rPr>
        <w:t>payment from the project owner subsequently.</w:t>
      </w:r>
    </w:p>
    <w:p w14:paraId="668FF37C" w14:textId="77777777" w:rsidR="009948FF" w:rsidRPr="00340156" w:rsidRDefault="009948FF" w:rsidP="00340156">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42DF33EB" w14:textId="33A6AE31" w:rsidR="00397AF5" w:rsidRDefault="00340156" w:rsidP="00C674BC">
      <w:pPr>
        <w:pStyle w:val="ListParagraph"/>
        <w:numPr>
          <w:ilvl w:val="0"/>
          <w:numId w:val="28"/>
        </w:numPr>
        <w:autoSpaceDE w:val="0"/>
        <w:autoSpaceDN w:val="0"/>
        <w:adjustRightInd w:val="0"/>
        <w:spacing w:line="360" w:lineRule="auto"/>
        <w:ind w:left="426" w:hanging="426"/>
        <w:jc w:val="thaiDistribute"/>
        <w:rPr>
          <w:rFonts w:asciiTheme="majorHAnsi" w:hAnsiTheme="majorHAnsi" w:cs="Browallia New"/>
          <w:sz w:val="19"/>
          <w:szCs w:val="24"/>
          <w:lang w:val="en-US" w:bidi="th-TH"/>
        </w:rPr>
      </w:pPr>
      <w:r w:rsidRPr="00397AF5">
        <w:rPr>
          <w:rFonts w:asciiTheme="majorHAnsi" w:hAnsiTheme="majorHAnsi" w:cs="Browallia New"/>
          <w:sz w:val="19"/>
          <w:szCs w:val="24"/>
          <w:lang w:val="en-US" w:bidi="th-TH"/>
        </w:rPr>
        <w:t xml:space="preserve">As discussed in Note 6 to the financial statements, </w:t>
      </w:r>
      <w:r w:rsidR="00434336" w:rsidRPr="00397AF5">
        <w:rPr>
          <w:rFonts w:asciiTheme="majorHAnsi" w:hAnsiTheme="majorHAnsi" w:cs="Browallia New"/>
          <w:sz w:val="19"/>
          <w:szCs w:val="24"/>
          <w:lang w:val="en-US" w:bidi="th-TH"/>
        </w:rPr>
        <w:t xml:space="preserve">the consolidated financial statement for the year ended 31 December 2019 </w:t>
      </w:r>
      <w:r w:rsidR="00C63D2B" w:rsidRPr="00397AF5">
        <w:rPr>
          <w:rFonts w:asciiTheme="majorHAnsi" w:hAnsiTheme="majorHAnsi" w:cs="Browallia New"/>
          <w:sz w:val="19"/>
          <w:szCs w:val="24"/>
          <w:lang w:val="en-US" w:bidi="th-TH"/>
        </w:rPr>
        <w:t>which</w:t>
      </w:r>
      <w:r w:rsidR="00434336" w:rsidRPr="00397AF5">
        <w:rPr>
          <w:rFonts w:asciiTheme="majorHAnsi" w:hAnsiTheme="majorHAnsi" w:cs="Browallia New"/>
          <w:sz w:val="19"/>
          <w:szCs w:val="24"/>
          <w:lang w:val="en-US" w:bidi="th-TH"/>
        </w:rPr>
        <w:t xml:space="preserve"> presented </w:t>
      </w:r>
      <w:r w:rsidR="00D17B2A" w:rsidRPr="00397AF5">
        <w:rPr>
          <w:rFonts w:asciiTheme="majorHAnsi" w:hAnsiTheme="majorHAnsi" w:cs="Browallia New"/>
          <w:sz w:val="19"/>
          <w:szCs w:val="24"/>
          <w:lang w:val="en-US" w:bidi="th-TH"/>
        </w:rPr>
        <w:t>as</w:t>
      </w:r>
      <w:r w:rsidR="00434336" w:rsidRPr="00397AF5">
        <w:rPr>
          <w:rFonts w:asciiTheme="majorHAnsi" w:hAnsiTheme="majorHAnsi" w:cs="Browallia New"/>
          <w:sz w:val="19"/>
          <w:szCs w:val="24"/>
          <w:lang w:val="en-US" w:bidi="th-TH"/>
        </w:rPr>
        <w:t xml:space="preserve"> comparative information</w:t>
      </w:r>
      <w:r w:rsidR="00C63D2B" w:rsidRPr="00397AF5">
        <w:rPr>
          <w:rFonts w:asciiTheme="majorHAnsi" w:hAnsiTheme="majorHAnsi" w:cs="Browallia New"/>
          <w:sz w:val="19"/>
          <w:szCs w:val="24"/>
          <w:lang w:val="en-US" w:bidi="th-TH"/>
        </w:rPr>
        <w:t xml:space="preserve"> has been restated</w:t>
      </w:r>
      <w:r w:rsidR="00182676" w:rsidRPr="00397AF5">
        <w:rPr>
          <w:rFonts w:asciiTheme="majorHAnsi" w:hAnsiTheme="majorHAnsi" w:cs="Browallia New"/>
          <w:sz w:val="19"/>
          <w:szCs w:val="24"/>
          <w:lang w:val="en-US" w:bidi="th-TH"/>
        </w:rPr>
        <w:t xml:space="preserve"> from the impact of</w:t>
      </w:r>
      <w:r w:rsidR="004B7666" w:rsidRPr="00397AF5">
        <w:rPr>
          <w:rFonts w:asciiTheme="majorHAnsi" w:hAnsiTheme="majorHAnsi" w:cs="Browallia New"/>
          <w:sz w:val="19"/>
          <w:szCs w:val="24"/>
          <w:lang w:val="en-US" w:bidi="th-TH"/>
        </w:rPr>
        <w:t xml:space="preserve"> the</w:t>
      </w:r>
      <w:r w:rsidR="00182676" w:rsidRPr="00397AF5">
        <w:rPr>
          <w:rFonts w:asciiTheme="majorHAnsi" w:hAnsiTheme="majorHAnsi" w:cs="Browallia New"/>
          <w:sz w:val="19"/>
          <w:szCs w:val="24"/>
          <w:lang w:val="en-US" w:bidi="th-TH"/>
        </w:rPr>
        <w:t xml:space="preserve"> </w:t>
      </w:r>
      <w:r w:rsidR="004B7666" w:rsidRPr="00397AF5">
        <w:rPr>
          <w:rFonts w:asciiTheme="majorHAnsi" w:hAnsiTheme="majorHAnsi" w:cs="Browallia New"/>
          <w:sz w:val="19"/>
          <w:szCs w:val="24"/>
          <w:lang w:val="en-US" w:bidi="th-TH"/>
        </w:rPr>
        <w:t xml:space="preserve">increase in </w:t>
      </w:r>
      <w:r w:rsidR="00AA7F6C" w:rsidRPr="00397AF5">
        <w:rPr>
          <w:rFonts w:asciiTheme="majorHAnsi" w:hAnsiTheme="majorHAnsi" w:cs="Browallia New"/>
          <w:sz w:val="19"/>
          <w:szCs w:val="24"/>
          <w:lang w:val="en-US" w:bidi="th-TH"/>
        </w:rPr>
        <w:t>share</w:t>
      </w:r>
      <w:r w:rsidR="00DB686D" w:rsidRPr="00397AF5">
        <w:rPr>
          <w:rFonts w:asciiTheme="majorHAnsi" w:hAnsiTheme="majorHAnsi" w:cs="Browallia New"/>
          <w:sz w:val="19"/>
          <w:szCs w:val="24"/>
          <w:lang w:val="en-US" w:bidi="th-TH"/>
        </w:rPr>
        <w:t>s</w:t>
      </w:r>
      <w:r w:rsidR="00AA7F6C" w:rsidRPr="00397AF5">
        <w:rPr>
          <w:rFonts w:asciiTheme="majorHAnsi" w:hAnsiTheme="majorHAnsi" w:cs="Browallia New"/>
          <w:sz w:val="19"/>
          <w:szCs w:val="24"/>
          <w:lang w:val="en-US" w:bidi="th-TH"/>
        </w:rPr>
        <w:t xml:space="preserve"> capital</w:t>
      </w:r>
      <w:r w:rsidR="004B7666" w:rsidRPr="00397AF5">
        <w:rPr>
          <w:rFonts w:asciiTheme="majorHAnsi" w:hAnsiTheme="majorHAnsi" w:cs="Browallia New"/>
          <w:sz w:val="19"/>
          <w:szCs w:val="24"/>
          <w:lang w:val="en-US" w:bidi="th-TH"/>
        </w:rPr>
        <w:t xml:space="preserve"> </w:t>
      </w:r>
      <w:r w:rsidR="00661AAB" w:rsidRPr="00397AF5">
        <w:rPr>
          <w:rFonts w:asciiTheme="majorHAnsi" w:hAnsiTheme="majorHAnsi" w:cs="Browallia New"/>
          <w:sz w:val="19"/>
          <w:szCs w:val="24"/>
          <w:lang w:val="en-US" w:bidi="th-TH"/>
        </w:rPr>
        <w:t xml:space="preserve">and change in the shareholder structure of an overseas subsidiary </w:t>
      </w:r>
      <w:r w:rsidR="00B00C8C" w:rsidRPr="00397AF5">
        <w:rPr>
          <w:rFonts w:asciiTheme="majorHAnsi" w:hAnsiTheme="majorHAnsi" w:cs="Browallia New"/>
          <w:sz w:val="19"/>
          <w:szCs w:val="24"/>
          <w:lang w:val="en-US" w:bidi="th-TH"/>
        </w:rPr>
        <w:t>during the 3</w:t>
      </w:r>
      <w:r w:rsidR="00B00C8C" w:rsidRPr="003C3EE8">
        <w:rPr>
          <w:rFonts w:asciiTheme="majorHAnsi" w:hAnsiTheme="majorHAnsi" w:cs="Browallia New"/>
          <w:sz w:val="19"/>
          <w:szCs w:val="19"/>
          <w:vertAlign w:val="superscript"/>
          <w:lang w:val="en-US" w:bidi="th-TH"/>
        </w:rPr>
        <w:t>rd</w:t>
      </w:r>
      <w:r w:rsidR="00B00C8C" w:rsidRPr="00397AF5">
        <w:rPr>
          <w:rFonts w:asciiTheme="majorHAnsi" w:hAnsiTheme="majorHAnsi" w:cs="Browallia New"/>
          <w:sz w:val="19"/>
          <w:szCs w:val="24"/>
          <w:lang w:val="en-US" w:bidi="th-TH"/>
        </w:rPr>
        <w:t xml:space="preserve"> and 4</w:t>
      </w:r>
      <w:r w:rsidR="00B00C8C" w:rsidRPr="003C3EE8">
        <w:rPr>
          <w:rFonts w:asciiTheme="majorHAnsi" w:hAnsiTheme="majorHAnsi" w:cs="Browallia New"/>
          <w:sz w:val="19"/>
          <w:szCs w:val="24"/>
          <w:vertAlign w:val="superscript"/>
          <w:lang w:val="en-US" w:bidi="th-TH"/>
        </w:rPr>
        <w:t>th</w:t>
      </w:r>
      <w:r w:rsidR="00B00C8C" w:rsidRPr="00397AF5">
        <w:rPr>
          <w:rFonts w:asciiTheme="majorHAnsi" w:hAnsiTheme="majorHAnsi" w:cs="Browallia New"/>
          <w:sz w:val="19"/>
          <w:szCs w:val="24"/>
          <w:lang w:val="en-US" w:bidi="th-TH"/>
        </w:rPr>
        <w:t xml:space="preserve"> quarter of the year 2019</w:t>
      </w:r>
      <w:r w:rsidR="00FB0F7E" w:rsidRPr="00397AF5">
        <w:rPr>
          <w:rFonts w:asciiTheme="majorHAnsi" w:hAnsiTheme="majorHAnsi" w:cs="Browallia New"/>
          <w:sz w:val="19"/>
          <w:szCs w:val="24"/>
          <w:lang w:val="en-US" w:bidi="th-TH"/>
        </w:rPr>
        <w:t xml:space="preserve"> which has</w:t>
      </w:r>
      <w:r w:rsidR="006D5915" w:rsidRPr="00397AF5">
        <w:rPr>
          <w:rFonts w:asciiTheme="majorHAnsi" w:hAnsiTheme="majorHAnsi" w:cs="Browallia New"/>
          <w:sz w:val="19"/>
          <w:szCs w:val="24"/>
          <w:lang w:val="en-US" w:bidi="th-TH"/>
        </w:rPr>
        <w:t xml:space="preserve"> newly</w:t>
      </w:r>
      <w:r w:rsidR="00FB0F7E" w:rsidRPr="00397AF5">
        <w:rPr>
          <w:rFonts w:asciiTheme="majorHAnsi" w:hAnsiTheme="majorHAnsi" w:cs="Browallia New"/>
          <w:sz w:val="19"/>
          <w:szCs w:val="24"/>
          <w:lang w:val="en-US" w:bidi="th-TH"/>
        </w:rPr>
        <w:t xml:space="preserve"> issued </w:t>
      </w:r>
      <w:r w:rsidR="006760B5" w:rsidRPr="00397AF5">
        <w:rPr>
          <w:rFonts w:asciiTheme="majorHAnsi" w:hAnsiTheme="majorHAnsi" w:cs="Browallia New"/>
          <w:sz w:val="19"/>
          <w:szCs w:val="24"/>
          <w:lang w:val="en-US" w:bidi="th-TH"/>
        </w:rPr>
        <w:t>common shares to the new investors at</w:t>
      </w:r>
      <w:r w:rsidR="003E0349" w:rsidRPr="00397AF5">
        <w:rPr>
          <w:rFonts w:asciiTheme="majorHAnsi" w:hAnsiTheme="majorHAnsi" w:cs="Browallia New"/>
          <w:sz w:val="19"/>
          <w:szCs w:val="24"/>
          <w:lang w:val="en-US" w:bidi="th-TH"/>
        </w:rPr>
        <w:t xml:space="preserve"> the</w:t>
      </w:r>
      <w:r w:rsidR="006760B5" w:rsidRPr="00397AF5">
        <w:rPr>
          <w:rFonts w:asciiTheme="majorHAnsi" w:hAnsiTheme="majorHAnsi" w:cs="Browallia New"/>
          <w:sz w:val="19"/>
          <w:szCs w:val="24"/>
          <w:lang w:val="en-US" w:bidi="th-TH"/>
        </w:rPr>
        <w:t xml:space="preserve"> par value</w:t>
      </w:r>
      <w:r w:rsidR="000D270D" w:rsidRPr="00397AF5">
        <w:rPr>
          <w:rFonts w:asciiTheme="majorHAnsi" w:hAnsiTheme="majorHAnsi" w:cs="Browallia New"/>
          <w:sz w:val="19"/>
          <w:szCs w:val="24"/>
          <w:lang w:val="en-US" w:bidi="th-TH"/>
        </w:rPr>
        <w:t xml:space="preserve"> which</w:t>
      </w:r>
      <w:r w:rsidR="00A04046" w:rsidRPr="00397AF5">
        <w:rPr>
          <w:rFonts w:asciiTheme="majorHAnsi" w:hAnsiTheme="majorHAnsi" w:cs="Browallia New"/>
          <w:sz w:val="19"/>
          <w:szCs w:val="24"/>
          <w:lang w:val="en-US" w:bidi="th-TH"/>
        </w:rPr>
        <w:t xml:space="preserve"> the price</w:t>
      </w:r>
      <w:r w:rsidR="003E0349" w:rsidRPr="00397AF5">
        <w:rPr>
          <w:rFonts w:asciiTheme="majorHAnsi" w:hAnsiTheme="majorHAnsi" w:cs="Browallia New"/>
          <w:sz w:val="19"/>
          <w:szCs w:val="24"/>
          <w:lang w:val="en-US" w:bidi="th-TH"/>
        </w:rPr>
        <w:t xml:space="preserve"> is</w:t>
      </w:r>
      <w:r w:rsidR="000D270D" w:rsidRPr="00397AF5">
        <w:rPr>
          <w:rFonts w:asciiTheme="majorHAnsi" w:hAnsiTheme="majorHAnsi" w:cs="Browallia New"/>
          <w:sz w:val="19"/>
          <w:szCs w:val="24"/>
          <w:lang w:val="en-US" w:bidi="th-TH"/>
        </w:rPr>
        <w:t xml:space="preserve"> </w:t>
      </w:r>
      <w:r w:rsidR="000F7F7E" w:rsidRPr="00397AF5">
        <w:rPr>
          <w:rFonts w:asciiTheme="majorHAnsi" w:hAnsiTheme="majorHAnsi" w:cs="Browallia New"/>
          <w:sz w:val="19"/>
          <w:szCs w:val="24"/>
          <w:lang w:val="en-US" w:bidi="th-TH"/>
        </w:rPr>
        <w:t>lower than the fair value</w:t>
      </w:r>
      <w:r w:rsidR="003E0349" w:rsidRPr="00397AF5">
        <w:rPr>
          <w:rFonts w:asciiTheme="majorHAnsi" w:hAnsiTheme="majorHAnsi" w:cs="Browallia New"/>
          <w:sz w:val="19"/>
          <w:szCs w:val="24"/>
          <w:lang w:val="en-US" w:bidi="th-TH"/>
        </w:rPr>
        <w:t xml:space="preserve"> of share</w:t>
      </w:r>
      <w:r w:rsidR="00DB686D" w:rsidRPr="00397AF5">
        <w:rPr>
          <w:rFonts w:asciiTheme="majorHAnsi" w:hAnsiTheme="majorHAnsi" w:cs="Browallia New"/>
          <w:sz w:val="19"/>
          <w:szCs w:val="24"/>
          <w:lang w:val="en-US" w:bidi="th-TH"/>
        </w:rPr>
        <w:t>s</w:t>
      </w:r>
      <w:r w:rsidR="009959EA" w:rsidRPr="00397AF5">
        <w:rPr>
          <w:rFonts w:asciiTheme="majorHAnsi" w:hAnsiTheme="majorHAnsi" w:cs="Browallia New"/>
          <w:sz w:val="19"/>
          <w:szCs w:val="24"/>
          <w:lang w:val="en-US" w:bidi="th-TH"/>
        </w:rPr>
        <w:t xml:space="preserve"> from the </w:t>
      </w:r>
      <w:r w:rsidR="001D6254" w:rsidRPr="00397AF5">
        <w:rPr>
          <w:rFonts w:asciiTheme="majorHAnsi" w:hAnsiTheme="majorHAnsi" w:cs="Browallia New"/>
          <w:sz w:val="19"/>
          <w:szCs w:val="24"/>
          <w:lang w:val="en-US" w:bidi="th-TH"/>
        </w:rPr>
        <w:t>valuation report</w:t>
      </w:r>
      <w:r w:rsidR="005916E1" w:rsidRPr="00397AF5">
        <w:rPr>
          <w:rFonts w:asciiTheme="majorHAnsi" w:hAnsiTheme="majorHAnsi" w:cs="Browallia New"/>
          <w:sz w:val="19"/>
          <w:szCs w:val="24"/>
          <w:lang w:val="en-US" w:bidi="th-TH"/>
        </w:rPr>
        <w:t xml:space="preserve"> appraise</w:t>
      </w:r>
      <w:r w:rsidR="00453C56" w:rsidRPr="00397AF5">
        <w:rPr>
          <w:rFonts w:asciiTheme="majorHAnsi" w:hAnsiTheme="majorHAnsi" w:cs="Browallia New"/>
          <w:sz w:val="19"/>
          <w:szCs w:val="24"/>
          <w:lang w:val="en-US" w:bidi="th-TH"/>
        </w:rPr>
        <w:t>d</w:t>
      </w:r>
      <w:r w:rsidR="001D6254" w:rsidRPr="00397AF5">
        <w:rPr>
          <w:rFonts w:asciiTheme="majorHAnsi" w:hAnsiTheme="majorHAnsi" w:cs="Browallia New"/>
          <w:sz w:val="19"/>
          <w:szCs w:val="24"/>
          <w:lang w:val="en-US" w:bidi="th-TH"/>
        </w:rPr>
        <w:t xml:space="preserve"> by the independent financial advisor</w:t>
      </w:r>
      <w:r w:rsidR="00CC7973" w:rsidRPr="00397AF5">
        <w:rPr>
          <w:rFonts w:asciiTheme="majorHAnsi" w:hAnsiTheme="majorHAnsi" w:cs="Browallia New"/>
          <w:sz w:val="19"/>
          <w:szCs w:val="24"/>
          <w:lang w:val="en-US" w:bidi="th-TH"/>
        </w:rPr>
        <w:t xml:space="preserve"> which complete</w:t>
      </w:r>
      <w:r w:rsidR="00CA7D93" w:rsidRPr="00397AF5">
        <w:rPr>
          <w:rFonts w:asciiTheme="majorHAnsi" w:hAnsiTheme="majorHAnsi" w:cs="Browallia New"/>
          <w:sz w:val="19"/>
          <w:szCs w:val="24"/>
          <w:lang w:val="en-US" w:bidi="th-TH"/>
        </w:rPr>
        <w:t>d</w:t>
      </w:r>
      <w:r w:rsidR="00CC7973" w:rsidRPr="00397AF5">
        <w:rPr>
          <w:rFonts w:asciiTheme="majorHAnsi" w:hAnsiTheme="majorHAnsi" w:cs="Browallia New"/>
          <w:sz w:val="19"/>
          <w:szCs w:val="24"/>
          <w:lang w:val="en-US" w:bidi="th-TH"/>
        </w:rPr>
        <w:t xml:space="preserve"> i</w:t>
      </w:r>
      <w:r w:rsidR="00F54401" w:rsidRPr="00397AF5">
        <w:rPr>
          <w:rFonts w:asciiTheme="majorHAnsi" w:hAnsiTheme="majorHAnsi" w:cs="Browallia New"/>
          <w:sz w:val="19"/>
          <w:szCs w:val="24"/>
          <w:lang w:val="en-US" w:bidi="th-TH"/>
        </w:rPr>
        <w:t>n the year 2020.</w:t>
      </w:r>
      <w:r w:rsidR="001D6254" w:rsidRPr="00397AF5">
        <w:rPr>
          <w:rFonts w:asciiTheme="majorHAnsi" w:hAnsiTheme="majorHAnsi" w:cs="Browallia New"/>
          <w:sz w:val="19"/>
          <w:szCs w:val="24"/>
          <w:lang w:val="en-US" w:bidi="th-TH"/>
        </w:rPr>
        <w:t xml:space="preserve"> </w:t>
      </w:r>
      <w:r w:rsidR="00F54401" w:rsidRPr="00397AF5">
        <w:rPr>
          <w:rFonts w:asciiTheme="majorHAnsi" w:hAnsiTheme="majorHAnsi" w:cs="Browallia New"/>
          <w:sz w:val="19"/>
          <w:szCs w:val="24"/>
          <w:lang w:val="en-US" w:bidi="th-TH"/>
        </w:rPr>
        <w:t xml:space="preserve">Such transaction is determined as share-based </w:t>
      </w:r>
      <w:r w:rsidR="00B22936" w:rsidRPr="00397AF5">
        <w:rPr>
          <w:rFonts w:asciiTheme="majorHAnsi" w:hAnsiTheme="majorHAnsi" w:cs="Browallia New"/>
          <w:sz w:val="19"/>
          <w:szCs w:val="24"/>
          <w:lang w:val="en-US" w:bidi="th-TH"/>
        </w:rPr>
        <w:t>payment transaction</w:t>
      </w:r>
      <w:r w:rsidR="003448D8">
        <w:rPr>
          <w:rFonts w:asciiTheme="majorHAnsi" w:hAnsiTheme="majorHAnsi" w:cs="Browallia New"/>
          <w:sz w:val="19"/>
          <w:szCs w:val="24"/>
          <w:lang w:val="en-US" w:bidi="th-TH"/>
        </w:rPr>
        <w:t xml:space="preserve"> under Thai Financial Reporting</w:t>
      </w:r>
      <w:r w:rsidR="009458F8">
        <w:rPr>
          <w:rFonts w:asciiTheme="majorHAnsi" w:hAnsiTheme="majorHAnsi" w:cs="Browallia New"/>
          <w:sz w:val="19"/>
          <w:szCs w:val="24"/>
          <w:lang w:val="en-US" w:bidi="th-TH"/>
        </w:rPr>
        <w:t xml:space="preserve"> Standards</w:t>
      </w:r>
      <w:r w:rsidR="001B0602">
        <w:rPr>
          <w:rFonts w:asciiTheme="majorHAnsi" w:hAnsiTheme="majorHAnsi" w:cs="Browallia New"/>
          <w:sz w:val="19"/>
          <w:szCs w:val="24"/>
          <w:lang w:val="en-US" w:bidi="th-TH"/>
        </w:rPr>
        <w:t xml:space="preserve"> No.</w:t>
      </w:r>
      <w:r w:rsidR="009458F8">
        <w:rPr>
          <w:rFonts w:asciiTheme="majorHAnsi" w:hAnsiTheme="majorHAnsi" w:cs="Browallia New"/>
          <w:sz w:val="19"/>
          <w:szCs w:val="24"/>
          <w:lang w:val="en-US" w:bidi="th-TH"/>
        </w:rPr>
        <w:t xml:space="preserve"> </w:t>
      </w:r>
      <w:r w:rsidR="003448D8">
        <w:rPr>
          <w:rFonts w:asciiTheme="majorHAnsi" w:hAnsiTheme="majorHAnsi" w:cs="Browallia New"/>
          <w:sz w:val="19"/>
          <w:szCs w:val="24"/>
          <w:lang w:val="en-US" w:bidi="th-TH"/>
        </w:rPr>
        <w:t>2 “Share-based Payments”</w:t>
      </w:r>
      <w:r w:rsidR="00B22936" w:rsidRPr="00397AF5">
        <w:rPr>
          <w:rFonts w:asciiTheme="majorHAnsi" w:hAnsiTheme="majorHAnsi" w:cs="Browallia New"/>
          <w:sz w:val="19"/>
          <w:szCs w:val="24"/>
          <w:lang w:val="en-US" w:bidi="th-TH"/>
        </w:rPr>
        <w:t>, the subsidiary</w:t>
      </w:r>
      <w:r w:rsidR="00FE5BC1" w:rsidRPr="00397AF5">
        <w:rPr>
          <w:rFonts w:asciiTheme="majorHAnsi" w:hAnsiTheme="majorHAnsi" w:cs="Browallia New"/>
          <w:sz w:val="19"/>
          <w:szCs w:val="24"/>
          <w:lang w:val="en-US" w:bidi="th-TH"/>
        </w:rPr>
        <w:t xml:space="preserve"> </w:t>
      </w:r>
      <w:r w:rsidR="003017EF" w:rsidRPr="00397AF5">
        <w:rPr>
          <w:rFonts w:asciiTheme="majorHAnsi" w:hAnsiTheme="majorHAnsi" w:cs="Browallia New"/>
          <w:sz w:val="19"/>
          <w:szCs w:val="24"/>
          <w:lang w:val="en-US" w:bidi="th-TH"/>
        </w:rPr>
        <w:t>measure</w:t>
      </w:r>
      <w:r w:rsidR="00024C02" w:rsidRPr="00397AF5">
        <w:rPr>
          <w:rFonts w:asciiTheme="majorHAnsi" w:hAnsiTheme="majorHAnsi" w:cs="Browallia New"/>
          <w:sz w:val="19"/>
          <w:szCs w:val="24"/>
          <w:lang w:val="en-US" w:bidi="th-TH"/>
        </w:rPr>
        <w:t>d t</w:t>
      </w:r>
      <w:r w:rsidR="0046443B" w:rsidRPr="00397AF5">
        <w:rPr>
          <w:rFonts w:asciiTheme="majorHAnsi" w:hAnsiTheme="majorHAnsi" w:cs="Browallia New"/>
          <w:sz w:val="19"/>
          <w:szCs w:val="24"/>
          <w:lang w:val="en-US" w:bidi="th-TH"/>
        </w:rPr>
        <w:t>he fair value of share</w:t>
      </w:r>
      <w:r w:rsidR="00DB686D" w:rsidRPr="00397AF5">
        <w:rPr>
          <w:rFonts w:asciiTheme="majorHAnsi" w:hAnsiTheme="majorHAnsi" w:cs="Browallia New"/>
          <w:sz w:val="19"/>
          <w:szCs w:val="24"/>
          <w:lang w:val="en-US" w:bidi="th-TH"/>
        </w:rPr>
        <w:t>s</w:t>
      </w:r>
      <w:r w:rsidR="0046443B" w:rsidRPr="00397AF5">
        <w:rPr>
          <w:rFonts w:asciiTheme="majorHAnsi" w:hAnsiTheme="majorHAnsi" w:cs="Browallia New"/>
          <w:sz w:val="19"/>
          <w:szCs w:val="24"/>
          <w:lang w:val="en-US" w:bidi="th-TH"/>
        </w:rPr>
        <w:t xml:space="preserve"> at the</w:t>
      </w:r>
      <w:r w:rsidR="004657DC" w:rsidRPr="00397AF5">
        <w:rPr>
          <w:rFonts w:asciiTheme="majorHAnsi" w:hAnsiTheme="majorHAnsi" w:cs="Browallia New"/>
          <w:sz w:val="19"/>
          <w:szCs w:val="24"/>
          <w:lang w:val="en-US" w:bidi="th-TH"/>
        </w:rPr>
        <w:t xml:space="preserve"> grant</w:t>
      </w:r>
      <w:r w:rsidR="0075316E" w:rsidRPr="00397AF5">
        <w:rPr>
          <w:rFonts w:asciiTheme="majorHAnsi" w:hAnsiTheme="majorHAnsi" w:cs="Browallia New"/>
          <w:sz w:val="19"/>
          <w:szCs w:val="24"/>
          <w:lang w:val="en-US" w:bidi="th-TH"/>
        </w:rPr>
        <w:t>ed</w:t>
      </w:r>
      <w:r w:rsidR="004657DC" w:rsidRPr="00397AF5">
        <w:rPr>
          <w:rFonts w:asciiTheme="majorHAnsi" w:hAnsiTheme="majorHAnsi" w:cs="Browallia New"/>
          <w:sz w:val="19"/>
          <w:szCs w:val="24"/>
          <w:lang w:val="en-US" w:bidi="th-TH"/>
        </w:rPr>
        <w:t xml:space="preserve"> date</w:t>
      </w:r>
      <w:r w:rsidR="0075316E" w:rsidRPr="00397AF5">
        <w:rPr>
          <w:rFonts w:asciiTheme="majorHAnsi" w:hAnsiTheme="majorHAnsi" w:cs="Browallia New"/>
          <w:sz w:val="19"/>
          <w:szCs w:val="24"/>
          <w:lang w:val="en-US" w:bidi="th-TH"/>
        </w:rPr>
        <w:t xml:space="preserve"> to recognize the</w:t>
      </w:r>
      <w:r w:rsidR="00B6618F" w:rsidRPr="00397AF5">
        <w:rPr>
          <w:rFonts w:asciiTheme="majorHAnsi" w:hAnsiTheme="majorHAnsi" w:cs="Browallia New"/>
          <w:sz w:val="19"/>
          <w:szCs w:val="24"/>
          <w:lang w:val="en-US" w:bidi="th-TH"/>
        </w:rPr>
        <w:t xml:space="preserve"> different price of shares</w:t>
      </w:r>
      <w:r w:rsidR="00E80D24" w:rsidRPr="00397AF5">
        <w:rPr>
          <w:rFonts w:asciiTheme="majorHAnsi" w:hAnsiTheme="majorHAnsi" w:cs="Browallia New"/>
          <w:sz w:val="19"/>
          <w:szCs w:val="24"/>
          <w:lang w:val="en-US" w:bidi="th-TH"/>
        </w:rPr>
        <w:t xml:space="preserve"> as expenses relating</w:t>
      </w:r>
      <w:r w:rsidR="0075316E" w:rsidRPr="00397AF5">
        <w:rPr>
          <w:rFonts w:asciiTheme="majorHAnsi" w:hAnsiTheme="majorHAnsi" w:cs="Browallia New"/>
          <w:sz w:val="19"/>
          <w:szCs w:val="24"/>
          <w:lang w:val="en-US" w:bidi="th-TH"/>
        </w:rPr>
        <w:t xml:space="preserve"> to the increase in shareholder’s equity </w:t>
      </w:r>
      <w:r w:rsidR="00B02DB2" w:rsidRPr="00397AF5">
        <w:rPr>
          <w:rFonts w:asciiTheme="majorHAnsi" w:hAnsiTheme="majorHAnsi" w:cs="Browallia New"/>
          <w:sz w:val="19"/>
          <w:szCs w:val="24"/>
          <w:lang w:val="en-US" w:bidi="th-TH"/>
        </w:rPr>
        <w:t>of subsidiary company</w:t>
      </w:r>
      <w:r w:rsidR="0008703C">
        <w:rPr>
          <w:rFonts w:asciiTheme="majorHAnsi" w:hAnsiTheme="majorHAnsi" w:cs="Browallia New"/>
          <w:sz w:val="19"/>
          <w:szCs w:val="24"/>
          <w:lang w:val="en-US" w:bidi="th-TH"/>
        </w:rPr>
        <w:t xml:space="preserve"> of Baht 1,543.</w:t>
      </w:r>
      <w:r w:rsidR="00F61DEE">
        <w:rPr>
          <w:rFonts w:asciiTheme="majorHAnsi" w:hAnsiTheme="majorHAnsi" w:cs="Browallia New"/>
          <w:sz w:val="19"/>
          <w:szCs w:val="24"/>
          <w:lang w:val="en-US" w:bidi="th-TH"/>
        </w:rPr>
        <w:t>14 million in the</w:t>
      </w:r>
      <w:r w:rsidR="00F66681">
        <w:rPr>
          <w:rFonts w:asciiTheme="majorHAnsi" w:hAnsiTheme="majorHAnsi" w:cs="Browallia New"/>
          <w:sz w:val="19"/>
          <w:szCs w:val="24"/>
          <w:lang w:val="en-US" w:bidi="th-TH"/>
        </w:rPr>
        <w:t xml:space="preserve"> consolidated </w:t>
      </w:r>
      <w:r w:rsidR="00094D46">
        <w:rPr>
          <w:rFonts w:asciiTheme="majorHAnsi" w:hAnsiTheme="majorHAnsi" w:cs="Browallia New"/>
          <w:sz w:val="19"/>
          <w:szCs w:val="24"/>
          <w:lang w:val="en-US" w:bidi="th-TH"/>
        </w:rPr>
        <w:t>statements of profit and loss for the nine-month period ended 30 September 2019</w:t>
      </w:r>
      <w:r w:rsidR="00B02DB2" w:rsidRPr="00397AF5">
        <w:rPr>
          <w:rFonts w:asciiTheme="majorHAnsi" w:hAnsiTheme="majorHAnsi" w:cs="Browallia New"/>
          <w:sz w:val="19"/>
          <w:szCs w:val="24"/>
          <w:lang w:val="en-US" w:bidi="th-TH"/>
        </w:rPr>
        <w:t xml:space="preserve">. </w:t>
      </w:r>
      <w:proofErr w:type="gramStart"/>
      <w:r w:rsidR="00B02DB2" w:rsidRPr="00397AF5">
        <w:rPr>
          <w:rFonts w:asciiTheme="majorHAnsi" w:hAnsiTheme="majorHAnsi" w:cs="Browallia New"/>
          <w:sz w:val="19"/>
          <w:szCs w:val="24"/>
          <w:lang w:val="en-US" w:bidi="th-TH"/>
        </w:rPr>
        <w:t>As a consequence of</w:t>
      </w:r>
      <w:proofErr w:type="gramEnd"/>
      <w:r w:rsidR="00B02DB2" w:rsidRPr="00397AF5">
        <w:rPr>
          <w:rFonts w:asciiTheme="majorHAnsi" w:hAnsiTheme="majorHAnsi" w:cs="Browallia New"/>
          <w:sz w:val="19"/>
          <w:szCs w:val="24"/>
          <w:lang w:val="en-US" w:bidi="th-TH"/>
        </w:rPr>
        <w:t xml:space="preserve"> the</w:t>
      </w:r>
      <w:r w:rsidR="00135386">
        <w:rPr>
          <w:rFonts w:asciiTheme="majorHAnsi" w:hAnsiTheme="majorHAnsi" w:cs="Browallia New"/>
          <w:sz w:val="19"/>
          <w:szCs w:val="24"/>
          <w:lang w:val="en-US" w:bidi="th-TH"/>
        </w:rPr>
        <w:t xml:space="preserve"> completeness of</w:t>
      </w:r>
      <w:r w:rsidR="00F84BBC">
        <w:rPr>
          <w:rFonts w:asciiTheme="majorHAnsi" w:hAnsiTheme="majorHAnsi" w:cs="Browallia New"/>
          <w:sz w:val="19"/>
          <w:szCs w:val="24"/>
          <w:lang w:val="en-US" w:bidi="th-TH"/>
        </w:rPr>
        <w:t xml:space="preserve"> shares capital</w:t>
      </w:r>
      <w:r w:rsidR="00B02DB2" w:rsidRPr="00397AF5">
        <w:rPr>
          <w:rFonts w:asciiTheme="majorHAnsi" w:hAnsiTheme="majorHAnsi" w:cs="Browallia New"/>
          <w:sz w:val="19"/>
          <w:szCs w:val="24"/>
          <w:lang w:val="en-US" w:bidi="th-TH"/>
        </w:rPr>
        <w:t xml:space="preserve"> increase</w:t>
      </w:r>
      <w:r w:rsidR="00C70C3A">
        <w:rPr>
          <w:rFonts w:asciiTheme="majorHAnsi" w:hAnsiTheme="majorHAnsi" w:cs="Browallia New"/>
          <w:sz w:val="19"/>
          <w:szCs w:val="24"/>
          <w:lang w:val="en-US" w:bidi="th-TH"/>
        </w:rPr>
        <w:t xml:space="preserve">, </w:t>
      </w:r>
      <w:r w:rsidR="00FE5BC1" w:rsidRPr="00397AF5">
        <w:rPr>
          <w:rFonts w:asciiTheme="majorHAnsi" w:hAnsiTheme="majorHAnsi" w:cs="Browallia New"/>
          <w:sz w:val="19"/>
          <w:szCs w:val="24"/>
          <w:lang w:val="en-US" w:bidi="th-TH"/>
        </w:rPr>
        <w:t xml:space="preserve">the </w:t>
      </w:r>
      <w:r w:rsidR="00C70C3A">
        <w:rPr>
          <w:rFonts w:asciiTheme="majorHAnsi" w:hAnsiTheme="majorHAnsi" w:cs="Browallia New"/>
          <w:sz w:val="19"/>
          <w:szCs w:val="24"/>
          <w:lang w:val="en-US" w:bidi="th-TH"/>
        </w:rPr>
        <w:t>subsidiary</w:t>
      </w:r>
      <w:r w:rsidR="008F75A9">
        <w:rPr>
          <w:rFonts w:asciiTheme="majorHAnsi" w:hAnsiTheme="majorHAnsi" w:cs="Browallia New"/>
          <w:sz w:val="19"/>
          <w:szCs w:val="24"/>
          <w:lang w:val="en-US" w:bidi="th-TH"/>
        </w:rPr>
        <w:t xml:space="preserve"> restructuring of shareholders </w:t>
      </w:r>
      <w:r w:rsidR="003B2552">
        <w:rPr>
          <w:rFonts w:asciiTheme="majorHAnsi" w:hAnsiTheme="majorHAnsi" w:cs="Browallia New"/>
          <w:sz w:val="19"/>
          <w:szCs w:val="24"/>
          <w:lang w:val="en-US" w:bidi="th-TH"/>
        </w:rPr>
        <w:t>during the 4</w:t>
      </w:r>
      <w:r w:rsidR="002D6764" w:rsidRPr="003C3EE8">
        <w:rPr>
          <w:rFonts w:asciiTheme="majorHAnsi" w:hAnsiTheme="majorHAnsi" w:cs="Browallia New"/>
          <w:sz w:val="19"/>
          <w:szCs w:val="24"/>
          <w:vertAlign w:val="superscript"/>
          <w:lang w:val="en-US" w:bidi="th-TH"/>
        </w:rPr>
        <w:t>th</w:t>
      </w:r>
      <w:r w:rsidR="007D7E9C">
        <w:rPr>
          <w:rFonts w:asciiTheme="majorHAnsi" w:hAnsiTheme="majorHAnsi" w:cs="Browallia New"/>
          <w:sz w:val="19"/>
          <w:szCs w:val="24"/>
          <w:lang w:val="en-US" w:bidi="th-TH"/>
        </w:rPr>
        <w:t xml:space="preserve"> quarter of the year 2019</w:t>
      </w:r>
      <w:r w:rsidR="00A36628">
        <w:rPr>
          <w:rFonts w:asciiTheme="majorHAnsi" w:hAnsiTheme="majorHAnsi" w:cs="Browallia New"/>
          <w:sz w:val="19"/>
          <w:szCs w:val="24"/>
          <w:lang w:val="en-US" w:bidi="th-TH"/>
        </w:rPr>
        <w:t xml:space="preserve"> and </w:t>
      </w:r>
      <w:r w:rsidR="007D7E9C" w:rsidRPr="007D7E9C">
        <w:rPr>
          <w:rFonts w:asciiTheme="majorHAnsi" w:hAnsiTheme="majorHAnsi" w:cs="Browallia New"/>
          <w:sz w:val="19"/>
          <w:szCs w:val="24"/>
          <w:lang w:val="en-US" w:bidi="th-TH"/>
        </w:rPr>
        <w:t>the new investors have power to jointly control such subsidiary with the Company</w:t>
      </w:r>
      <w:r w:rsidR="00A36628">
        <w:rPr>
          <w:rFonts w:asciiTheme="majorHAnsi" w:hAnsiTheme="majorHAnsi" w:cs="Browallia New"/>
          <w:sz w:val="19"/>
          <w:szCs w:val="24"/>
          <w:lang w:val="en-US" w:bidi="th-TH"/>
        </w:rPr>
        <w:t>.</w:t>
      </w:r>
      <w:r w:rsidR="00C70C3A" w:rsidRPr="007D7E9C">
        <w:rPr>
          <w:rFonts w:asciiTheme="majorHAnsi" w:hAnsiTheme="majorHAnsi" w:cs="Browallia New"/>
          <w:sz w:val="19"/>
          <w:szCs w:val="24"/>
          <w:lang w:val="en-US" w:bidi="th-TH"/>
        </w:rPr>
        <w:t xml:space="preserve"> </w:t>
      </w:r>
      <w:r w:rsidR="00A36628" w:rsidRPr="00A36628">
        <w:rPr>
          <w:rFonts w:asciiTheme="majorHAnsi" w:hAnsiTheme="majorHAnsi" w:cs="Browallia New"/>
          <w:sz w:val="19"/>
          <w:szCs w:val="24"/>
          <w:lang w:val="en-US" w:bidi="th-TH"/>
        </w:rPr>
        <w:t>T</w:t>
      </w:r>
      <w:r w:rsidR="004F6291" w:rsidRPr="00A36628">
        <w:rPr>
          <w:rFonts w:asciiTheme="majorHAnsi" w:hAnsiTheme="majorHAnsi" w:cs="Browallia New"/>
          <w:sz w:val="19"/>
          <w:szCs w:val="24"/>
          <w:lang w:val="en-US" w:bidi="th-TH"/>
        </w:rPr>
        <w:t>he</w:t>
      </w:r>
      <w:r w:rsidR="00C54F34">
        <w:rPr>
          <w:rFonts w:asciiTheme="majorHAnsi" w:hAnsiTheme="majorHAnsi" w:cs="Browallia New"/>
          <w:sz w:val="19"/>
          <w:szCs w:val="24"/>
          <w:lang w:val="en-US" w:bidi="th-TH"/>
        </w:rPr>
        <w:t>refore, the</w:t>
      </w:r>
      <w:r w:rsidR="004F6291" w:rsidRPr="00A36628">
        <w:rPr>
          <w:rFonts w:asciiTheme="majorHAnsi" w:hAnsiTheme="majorHAnsi" w:cs="Browallia New"/>
          <w:sz w:val="19"/>
          <w:szCs w:val="24"/>
          <w:lang w:val="en-US" w:bidi="th-TH"/>
        </w:rPr>
        <w:t xml:space="preserve"> Company</w:t>
      </w:r>
      <w:r w:rsidR="00C54F34">
        <w:rPr>
          <w:rFonts w:asciiTheme="majorHAnsi" w:hAnsiTheme="majorHAnsi" w:cs="Browallia New"/>
          <w:sz w:val="19"/>
          <w:szCs w:val="24"/>
          <w:lang w:val="en-US" w:bidi="th-TH"/>
        </w:rPr>
        <w:t xml:space="preserve"> </w:t>
      </w:r>
      <w:r w:rsidR="004F6291" w:rsidRPr="00A36628">
        <w:rPr>
          <w:rFonts w:asciiTheme="majorHAnsi" w:hAnsiTheme="majorHAnsi" w:cs="Browallia New"/>
          <w:sz w:val="19"/>
          <w:szCs w:val="24"/>
          <w:lang w:val="en-US" w:bidi="th-TH"/>
        </w:rPr>
        <w:t>losses control in such subsidiary</w:t>
      </w:r>
      <w:r w:rsidR="00363C11">
        <w:rPr>
          <w:rFonts w:asciiTheme="majorHAnsi" w:hAnsiTheme="majorHAnsi" w:cs="Browallia New"/>
          <w:sz w:val="19"/>
          <w:szCs w:val="24"/>
          <w:lang w:val="en-US" w:bidi="th-TH"/>
        </w:rPr>
        <w:t>.</w:t>
      </w:r>
      <w:r w:rsidR="00F25517" w:rsidRPr="00A36628">
        <w:rPr>
          <w:rFonts w:asciiTheme="majorHAnsi" w:hAnsiTheme="majorHAnsi" w:cs="Browallia New"/>
          <w:sz w:val="19"/>
          <w:szCs w:val="24"/>
          <w:lang w:val="en-US" w:bidi="th-TH"/>
        </w:rPr>
        <w:t xml:space="preserve"> </w:t>
      </w:r>
      <w:r w:rsidR="00363C11">
        <w:rPr>
          <w:rFonts w:asciiTheme="majorHAnsi" w:hAnsiTheme="majorHAnsi" w:cs="Browallia New"/>
          <w:sz w:val="19"/>
          <w:szCs w:val="24"/>
          <w:lang w:val="en-US" w:bidi="th-TH"/>
        </w:rPr>
        <w:t>T</w:t>
      </w:r>
      <w:r w:rsidR="002F158B" w:rsidRPr="00A36628">
        <w:rPr>
          <w:rFonts w:asciiTheme="majorHAnsi" w:hAnsiTheme="majorHAnsi" w:cs="Browallia New"/>
          <w:sz w:val="19"/>
          <w:szCs w:val="24"/>
          <w:lang w:val="en-US" w:bidi="th-TH"/>
        </w:rPr>
        <w:t>he Company</w:t>
      </w:r>
      <w:r w:rsidR="00817652">
        <w:rPr>
          <w:rFonts w:asciiTheme="majorHAnsi" w:hAnsiTheme="majorHAnsi" w:cs="Browallia New"/>
          <w:sz w:val="19"/>
          <w:szCs w:val="24"/>
          <w:lang w:val="en-US" w:bidi="th-TH"/>
        </w:rPr>
        <w:t xml:space="preserve"> has adjustment </w:t>
      </w:r>
      <w:r w:rsidR="003A7DC4">
        <w:rPr>
          <w:rFonts w:asciiTheme="majorHAnsi" w:hAnsiTheme="majorHAnsi" w:cs="Browallia New"/>
          <w:sz w:val="19"/>
          <w:szCs w:val="24"/>
          <w:lang w:val="en-US" w:bidi="th-TH"/>
        </w:rPr>
        <w:t xml:space="preserve">to </w:t>
      </w:r>
      <w:r w:rsidR="00862DEE">
        <w:rPr>
          <w:rFonts w:asciiTheme="majorHAnsi" w:hAnsiTheme="majorHAnsi" w:cs="Browallia New"/>
          <w:sz w:val="19"/>
          <w:szCs w:val="24"/>
          <w:lang w:val="en-US" w:bidi="th-TH"/>
        </w:rPr>
        <w:t>recognizes</w:t>
      </w:r>
      <w:r w:rsidR="003A7DC4">
        <w:rPr>
          <w:rFonts w:asciiTheme="majorHAnsi" w:hAnsiTheme="majorHAnsi" w:cs="Browallia New"/>
          <w:sz w:val="19"/>
          <w:szCs w:val="24"/>
          <w:lang w:val="en-US" w:bidi="th-TH"/>
        </w:rPr>
        <w:t xml:space="preserve"> </w:t>
      </w:r>
      <w:r w:rsidR="005D3377" w:rsidRPr="00833D85">
        <w:rPr>
          <w:rFonts w:asciiTheme="majorHAnsi" w:hAnsiTheme="majorHAnsi" w:cs="Browallia New"/>
          <w:sz w:val="19"/>
          <w:szCs w:val="24"/>
          <w:lang w:val="en-US" w:bidi="th-TH"/>
        </w:rPr>
        <w:t>the</w:t>
      </w:r>
      <w:r w:rsidR="00E5251A" w:rsidRPr="00833D85">
        <w:rPr>
          <w:rFonts w:asciiTheme="majorHAnsi" w:hAnsiTheme="majorHAnsi" w:cs="Browallia New"/>
          <w:sz w:val="19"/>
          <w:szCs w:val="24"/>
          <w:lang w:val="en-US" w:bidi="th-TH"/>
        </w:rPr>
        <w:t xml:space="preserve"> investment</w:t>
      </w:r>
      <w:r w:rsidR="00D82F59" w:rsidRPr="00833D85">
        <w:rPr>
          <w:rFonts w:asciiTheme="majorHAnsi" w:hAnsiTheme="majorHAnsi" w:cs="Browallia New"/>
          <w:sz w:val="19"/>
          <w:szCs w:val="24"/>
          <w:lang w:val="en-US" w:bidi="th-TH"/>
        </w:rPr>
        <w:t xml:space="preserve"> retained in the former subsidiary (</w:t>
      </w:r>
      <w:r w:rsidR="00817652" w:rsidRPr="00833D85">
        <w:rPr>
          <w:rFonts w:asciiTheme="majorHAnsi" w:hAnsiTheme="majorHAnsi" w:cs="Browallia New"/>
          <w:sz w:val="19"/>
          <w:szCs w:val="24"/>
          <w:lang w:val="en-US" w:bidi="th-TH"/>
        </w:rPr>
        <w:t>joint control</w:t>
      </w:r>
      <w:r w:rsidR="00D82F59" w:rsidRPr="00833D85">
        <w:rPr>
          <w:rFonts w:asciiTheme="majorHAnsi" w:hAnsiTheme="majorHAnsi" w:cs="Browallia New"/>
          <w:sz w:val="19"/>
          <w:szCs w:val="24"/>
          <w:lang w:val="en-US" w:bidi="th-TH"/>
        </w:rPr>
        <w:t xml:space="preserve"> company at </w:t>
      </w:r>
      <w:r w:rsidR="00103CDA" w:rsidRPr="00833D85">
        <w:rPr>
          <w:rFonts w:asciiTheme="majorHAnsi" w:hAnsiTheme="majorHAnsi" w:cs="Browallia New"/>
          <w:sz w:val="19"/>
          <w:szCs w:val="24"/>
          <w:lang w:val="en-US" w:bidi="th-TH"/>
        </w:rPr>
        <w:t>present)</w:t>
      </w:r>
      <w:r w:rsidR="00F348CD" w:rsidRPr="00833D85">
        <w:rPr>
          <w:rFonts w:asciiTheme="majorHAnsi" w:hAnsiTheme="majorHAnsi" w:cs="Browallia New"/>
          <w:sz w:val="19"/>
          <w:szCs w:val="24"/>
          <w:lang w:val="en-US" w:bidi="th-TH"/>
        </w:rPr>
        <w:t xml:space="preserve"> </w:t>
      </w:r>
      <w:r w:rsidR="00926622" w:rsidRPr="00833D85">
        <w:rPr>
          <w:rFonts w:asciiTheme="majorHAnsi" w:hAnsiTheme="majorHAnsi" w:cs="Browallia New"/>
          <w:sz w:val="19"/>
          <w:szCs w:val="24"/>
          <w:lang w:val="en-US" w:bidi="th-TH"/>
        </w:rPr>
        <w:t xml:space="preserve">at the </w:t>
      </w:r>
      <w:r w:rsidR="005D3377" w:rsidRPr="00833D85">
        <w:rPr>
          <w:rFonts w:asciiTheme="majorHAnsi" w:hAnsiTheme="majorHAnsi" w:cs="Browallia New"/>
          <w:sz w:val="19"/>
          <w:szCs w:val="24"/>
          <w:lang w:val="en-US" w:bidi="th-TH"/>
        </w:rPr>
        <w:t>fair value</w:t>
      </w:r>
      <w:r w:rsidR="00B96389">
        <w:rPr>
          <w:rFonts w:asciiTheme="majorHAnsi" w:hAnsiTheme="majorHAnsi" w:cs="Browallia New"/>
          <w:sz w:val="19"/>
          <w:szCs w:val="24"/>
          <w:lang w:val="en-US" w:bidi="th-TH"/>
        </w:rPr>
        <w:t xml:space="preserve"> of Baht 1,295.00 million</w:t>
      </w:r>
      <w:r w:rsidR="00EF6853" w:rsidRPr="00833D85">
        <w:rPr>
          <w:rFonts w:asciiTheme="majorHAnsi" w:hAnsiTheme="majorHAnsi" w:cs="Browallia New"/>
          <w:sz w:val="19"/>
          <w:szCs w:val="24"/>
          <w:lang w:val="en-US" w:bidi="th-TH"/>
        </w:rPr>
        <w:t xml:space="preserve"> </w:t>
      </w:r>
      <w:r w:rsidR="00926622" w:rsidRPr="00833D85">
        <w:rPr>
          <w:rFonts w:asciiTheme="majorHAnsi" w:hAnsiTheme="majorHAnsi" w:cs="Browallia New"/>
          <w:sz w:val="19"/>
          <w:szCs w:val="24"/>
          <w:lang w:val="en-US" w:bidi="th-TH"/>
        </w:rPr>
        <w:t xml:space="preserve">and </w:t>
      </w:r>
      <w:r w:rsidR="006B4F2A">
        <w:rPr>
          <w:rFonts w:asciiTheme="majorHAnsi" w:hAnsiTheme="majorHAnsi" w:cs="Browallia New"/>
          <w:sz w:val="19"/>
          <w:szCs w:val="24"/>
          <w:lang w:val="en-US" w:bidi="th-TH"/>
        </w:rPr>
        <w:t xml:space="preserve">recognizes </w:t>
      </w:r>
      <w:r w:rsidR="00397AF5" w:rsidRPr="00833D85">
        <w:rPr>
          <w:rFonts w:asciiTheme="majorHAnsi" w:hAnsiTheme="majorHAnsi" w:cs="Browallia New"/>
          <w:sz w:val="19"/>
          <w:szCs w:val="24"/>
          <w:lang w:val="en-US" w:bidi="th-TH"/>
        </w:rPr>
        <w:t xml:space="preserve">the difference between the fair value and </w:t>
      </w:r>
      <w:r w:rsidR="00D728FE">
        <w:rPr>
          <w:rFonts w:asciiTheme="majorHAnsi" w:hAnsiTheme="majorHAnsi" w:cs="Browallia New"/>
          <w:sz w:val="19"/>
          <w:szCs w:val="24"/>
          <w:lang w:val="en-US" w:bidi="th-TH"/>
        </w:rPr>
        <w:t xml:space="preserve">the </w:t>
      </w:r>
      <w:r w:rsidR="00E41157">
        <w:rPr>
          <w:rFonts w:asciiTheme="majorHAnsi" w:hAnsiTheme="majorHAnsi" w:cs="Browallia New"/>
          <w:sz w:val="19"/>
          <w:szCs w:val="24"/>
          <w:lang w:val="en-US" w:bidi="th-TH"/>
        </w:rPr>
        <w:t xml:space="preserve">derecognizes </w:t>
      </w:r>
      <w:r w:rsidR="00D728FE">
        <w:rPr>
          <w:rFonts w:asciiTheme="majorHAnsi" w:hAnsiTheme="majorHAnsi" w:cs="Browallia New"/>
          <w:sz w:val="19"/>
          <w:szCs w:val="24"/>
          <w:lang w:val="en-US" w:bidi="th-TH"/>
        </w:rPr>
        <w:t xml:space="preserve">of </w:t>
      </w:r>
      <w:r w:rsidR="00380B6A" w:rsidRPr="00833D85">
        <w:rPr>
          <w:rFonts w:asciiTheme="majorHAnsi" w:hAnsiTheme="majorHAnsi" w:cs="Browallia New"/>
          <w:sz w:val="19"/>
          <w:szCs w:val="24"/>
          <w:lang w:val="en-US" w:bidi="th-TH"/>
        </w:rPr>
        <w:t xml:space="preserve">carrying amounts of </w:t>
      </w:r>
      <w:r w:rsidR="00397AF5" w:rsidRPr="00833D85">
        <w:rPr>
          <w:rFonts w:asciiTheme="majorHAnsi" w:hAnsiTheme="majorHAnsi" w:cs="Browallia New"/>
          <w:sz w:val="19"/>
          <w:szCs w:val="24"/>
          <w:lang w:val="en-US" w:bidi="th-TH"/>
        </w:rPr>
        <w:t>net asset</w:t>
      </w:r>
      <w:r w:rsidR="001D29B1">
        <w:rPr>
          <w:rFonts w:asciiTheme="majorHAnsi" w:hAnsiTheme="majorHAnsi" w:cs="Browallia New"/>
          <w:sz w:val="19"/>
          <w:szCs w:val="24"/>
          <w:lang w:val="en-US" w:bidi="th-TH"/>
        </w:rPr>
        <w:t xml:space="preserve"> and capital reserve for </w:t>
      </w:r>
      <w:r w:rsidR="00D57A2F">
        <w:rPr>
          <w:rFonts w:asciiTheme="majorHAnsi" w:hAnsiTheme="majorHAnsi" w:cs="Browallia New"/>
          <w:sz w:val="19"/>
          <w:szCs w:val="24"/>
          <w:lang w:val="en-US" w:bidi="th-TH"/>
        </w:rPr>
        <w:t>share-based payment which has been recognized as at 30 September 2019</w:t>
      </w:r>
      <w:r w:rsidR="00397AF5" w:rsidRPr="00833D85">
        <w:rPr>
          <w:rFonts w:asciiTheme="majorHAnsi" w:hAnsiTheme="majorHAnsi" w:cs="Browallia New"/>
          <w:sz w:val="19"/>
          <w:szCs w:val="24"/>
          <w:lang w:val="en-US" w:bidi="th-TH"/>
        </w:rPr>
        <w:t xml:space="preserve"> as gain from the loss of control in subsidiary </w:t>
      </w:r>
      <w:r w:rsidR="00717525" w:rsidRPr="00833D85">
        <w:rPr>
          <w:rFonts w:asciiTheme="majorHAnsi" w:hAnsiTheme="majorHAnsi" w:cs="Browallia New"/>
          <w:sz w:val="19"/>
          <w:szCs w:val="24"/>
          <w:lang w:val="en-US" w:bidi="th-TH"/>
        </w:rPr>
        <w:t>of Baht 2,</w:t>
      </w:r>
      <w:r w:rsidR="00C53D78">
        <w:rPr>
          <w:rFonts w:asciiTheme="majorHAnsi" w:hAnsiTheme="majorHAnsi" w:cs="Browallia New"/>
          <w:sz w:val="19"/>
          <w:szCs w:val="24"/>
          <w:lang w:val="en-US" w:bidi="th-TH"/>
        </w:rPr>
        <w:t>8</w:t>
      </w:r>
      <w:r w:rsidR="00394168">
        <w:rPr>
          <w:rFonts w:asciiTheme="majorHAnsi" w:hAnsiTheme="majorHAnsi" w:cs="Browallia New"/>
          <w:sz w:val="19"/>
          <w:szCs w:val="24"/>
          <w:lang w:val="en-US" w:bidi="th-TH"/>
        </w:rPr>
        <w:t>38</w:t>
      </w:r>
      <w:r w:rsidR="00717525" w:rsidRPr="00833D85">
        <w:rPr>
          <w:rFonts w:asciiTheme="majorHAnsi" w:hAnsiTheme="majorHAnsi" w:cs="Browallia New"/>
          <w:sz w:val="19"/>
          <w:szCs w:val="24"/>
          <w:lang w:val="en-US" w:bidi="th-TH"/>
        </w:rPr>
        <w:t>.</w:t>
      </w:r>
      <w:r w:rsidR="00394168">
        <w:rPr>
          <w:rFonts w:asciiTheme="majorHAnsi" w:hAnsiTheme="majorHAnsi" w:cs="Browallia New"/>
          <w:sz w:val="19"/>
          <w:szCs w:val="24"/>
          <w:lang w:val="en-US" w:bidi="th-TH"/>
        </w:rPr>
        <w:t>14</w:t>
      </w:r>
      <w:r w:rsidR="00717525" w:rsidRPr="00833D85">
        <w:rPr>
          <w:rFonts w:asciiTheme="majorHAnsi" w:hAnsiTheme="majorHAnsi" w:cs="Browallia New"/>
          <w:sz w:val="19"/>
          <w:szCs w:val="24"/>
          <w:lang w:val="en-US" w:bidi="th-TH"/>
        </w:rPr>
        <w:t xml:space="preserve"> million </w:t>
      </w:r>
      <w:r w:rsidR="00397AF5" w:rsidRPr="00833D85">
        <w:rPr>
          <w:rFonts w:asciiTheme="majorHAnsi" w:hAnsiTheme="majorHAnsi" w:cs="Browallia New"/>
          <w:sz w:val="19"/>
          <w:szCs w:val="24"/>
          <w:lang w:val="en-US" w:bidi="th-TH"/>
        </w:rPr>
        <w:t xml:space="preserve">in the consolidated </w:t>
      </w:r>
      <w:r w:rsidR="00FE6B82">
        <w:rPr>
          <w:rFonts w:asciiTheme="majorHAnsi" w:hAnsiTheme="majorHAnsi" w:cs="Browallia New"/>
          <w:sz w:val="19"/>
          <w:szCs w:val="24"/>
          <w:lang w:val="en-US" w:bidi="th-TH"/>
        </w:rPr>
        <w:t xml:space="preserve">financial </w:t>
      </w:r>
      <w:r w:rsidR="00344E4D">
        <w:rPr>
          <w:rFonts w:asciiTheme="majorHAnsi" w:hAnsiTheme="majorHAnsi" w:cs="Browallia New"/>
          <w:sz w:val="19"/>
          <w:szCs w:val="24"/>
          <w:lang w:val="en-US" w:bidi="th-TH"/>
        </w:rPr>
        <w:t xml:space="preserve">statements </w:t>
      </w:r>
      <w:r w:rsidR="00A24CD2" w:rsidRPr="00833D85">
        <w:rPr>
          <w:rFonts w:asciiTheme="majorHAnsi" w:hAnsiTheme="majorHAnsi" w:cs="Browallia New"/>
          <w:sz w:val="19"/>
          <w:szCs w:val="24"/>
          <w:lang w:val="en-US" w:bidi="th-TH"/>
        </w:rPr>
        <w:t>for the year ended 31 December 2019</w:t>
      </w:r>
      <w:r w:rsidR="00E84CA3" w:rsidRPr="00833D85">
        <w:rPr>
          <w:rFonts w:asciiTheme="majorHAnsi" w:hAnsiTheme="majorHAnsi" w:cs="Browallia New"/>
          <w:sz w:val="19"/>
          <w:szCs w:val="24"/>
          <w:lang w:val="en-US" w:bidi="th-TH"/>
        </w:rPr>
        <w:t>. The appraisal of fair value of</w:t>
      </w:r>
      <w:r w:rsidR="00620864" w:rsidRPr="00833D85">
        <w:rPr>
          <w:rFonts w:asciiTheme="majorHAnsi" w:hAnsiTheme="majorHAnsi" w:cs="Browallia New"/>
          <w:sz w:val="19"/>
          <w:szCs w:val="24"/>
          <w:lang w:val="en-US" w:bidi="th-TH"/>
        </w:rPr>
        <w:t xml:space="preserve"> such subsidiary </w:t>
      </w:r>
      <w:r w:rsidR="00701935">
        <w:rPr>
          <w:rFonts w:asciiTheme="majorHAnsi" w:hAnsiTheme="majorHAnsi" w:cs="Browallia New"/>
          <w:sz w:val="19"/>
          <w:szCs w:val="24"/>
          <w:lang w:val="en-US" w:bidi="th-TH"/>
        </w:rPr>
        <w:t xml:space="preserve">was assessed </w:t>
      </w:r>
      <w:r w:rsidR="00620864" w:rsidRPr="00833D85">
        <w:rPr>
          <w:rFonts w:asciiTheme="majorHAnsi" w:hAnsiTheme="majorHAnsi" w:cs="Browallia New"/>
          <w:sz w:val="19"/>
          <w:szCs w:val="24"/>
          <w:lang w:val="en-US" w:bidi="th-TH"/>
        </w:rPr>
        <w:t xml:space="preserve">by the independent financial advisor </w:t>
      </w:r>
      <w:r w:rsidR="00E7312A" w:rsidRPr="00833D85">
        <w:rPr>
          <w:rFonts w:asciiTheme="majorHAnsi" w:hAnsiTheme="majorHAnsi" w:cs="Browallia New"/>
          <w:sz w:val="19"/>
          <w:szCs w:val="24"/>
          <w:lang w:val="en-US" w:bidi="th-TH"/>
        </w:rPr>
        <w:t xml:space="preserve">using the Income Approach </w:t>
      </w:r>
      <w:r w:rsidR="0090622F" w:rsidRPr="00833D85">
        <w:rPr>
          <w:rFonts w:asciiTheme="majorHAnsi" w:hAnsiTheme="majorHAnsi" w:cs="Browallia New"/>
          <w:sz w:val="19"/>
          <w:szCs w:val="24"/>
          <w:lang w:val="en-US" w:bidi="th-TH"/>
        </w:rPr>
        <w:t>method</w:t>
      </w:r>
      <w:r w:rsidR="00CB24D5" w:rsidRPr="00833D85">
        <w:rPr>
          <w:rFonts w:asciiTheme="majorHAnsi" w:hAnsiTheme="majorHAnsi" w:cs="Browallia New"/>
          <w:sz w:val="19"/>
          <w:szCs w:val="24"/>
          <w:lang w:val="en-US" w:bidi="th-TH"/>
        </w:rPr>
        <w:t xml:space="preserve"> </w:t>
      </w:r>
      <w:r w:rsidR="00FD3B04" w:rsidRPr="00833D85">
        <w:rPr>
          <w:rFonts w:asciiTheme="majorHAnsi" w:hAnsiTheme="majorHAnsi" w:cs="Browallia New"/>
          <w:sz w:val="19"/>
          <w:szCs w:val="24"/>
          <w:lang w:val="en-US" w:bidi="th-TH"/>
        </w:rPr>
        <w:t>and discounted the future cash flow</w:t>
      </w:r>
      <w:r w:rsidR="00903602" w:rsidRPr="00833D85">
        <w:rPr>
          <w:rFonts w:asciiTheme="majorHAnsi" w:hAnsiTheme="majorHAnsi" w:cs="Browallia New"/>
          <w:sz w:val="19"/>
          <w:szCs w:val="24"/>
          <w:lang w:val="en-US" w:bidi="th-TH"/>
        </w:rPr>
        <w:t>s</w:t>
      </w:r>
      <w:r w:rsidR="0067620B" w:rsidRPr="00833D85">
        <w:rPr>
          <w:rFonts w:asciiTheme="majorHAnsi" w:hAnsiTheme="majorHAnsi" w:cs="Browallia New"/>
          <w:sz w:val="19"/>
          <w:szCs w:val="24"/>
          <w:lang w:val="en-US" w:bidi="th-TH"/>
        </w:rPr>
        <w:t xml:space="preserve"> to present value</w:t>
      </w:r>
      <w:r w:rsidR="002A4BA5" w:rsidRPr="00833D85">
        <w:rPr>
          <w:rFonts w:asciiTheme="majorHAnsi" w:hAnsiTheme="majorHAnsi" w:cs="Browallia New"/>
          <w:sz w:val="19"/>
          <w:szCs w:val="24"/>
          <w:lang w:val="en-US" w:bidi="th-TH"/>
        </w:rPr>
        <w:t xml:space="preserve">. This is </w:t>
      </w:r>
      <w:r w:rsidR="006D71D1" w:rsidRPr="00833D85">
        <w:rPr>
          <w:rFonts w:asciiTheme="majorHAnsi" w:hAnsiTheme="majorHAnsi" w:cs="Browallia New"/>
          <w:sz w:val="19"/>
          <w:szCs w:val="24"/>
          <w:lang w:val="en-US" w:bidi="th-TH"/>
        </w:rPr>
        <w:t>based on</w:t>
      </w:r>
      <w:r w:rsidR="008772DC" w:rsidRPr="00833D85">
        <w:rPr>
          <w:rFonts w:asciiTheme="majorHAnsi" w:hAnsiTheme="majorHAnsi" w:cs="Browallia New"/>
          <w:sz w:val="19"/>
          <w:szCs w:val="24"/>
          <w:lang w:val="en-US" w:bidi="th-TH"/>
        </w:rPr>
        <w:t xml:space="preserve"> the information and assumption</w:t>
      </w:r>
      <w:r w:rsidR="002A4BA5" w:rsidRPr="00833D85">
        <w:rPr>
          <w:rFonts w:asciiTheme="majorHAnsi" w:hAnsiTheme="majorHAnsi" w:cs="Browallia New"/>
          <w:sz w:val="19"/>
          <w:szCs w:val="24"/>
          <w:lang w:val="en-US" w:bidi="th-TH"/>
        </w:rPr>
        <w:t>s</w:t>
      </w:r>
      <w:r w:rsidR="008772DC" w:rsidRPr="00833D85">
        <w:rPr>
          <w:rFonts w:asciiTheme="majorHAnsi" w:hAnsiTheme="majorHAnsi" w:cs="Browallia New"/>
          <w:sz w:val="19"/>
          <w:szCs w:val="24"/>
          <w:lang w:val="en-US" w:bidi="th-TH"/>
        </w:rPr>
        <w:t xml:space="preserve"> </w:t>
      </w:r>
      <w:r w:rsidR="002A4BA5" w:rsidRPr="00833D85">
        <w:rPr>
          <w:rFonts w:asciiTheme="majorHAnsi" w:hAnsiTheme="majorHAnsi" w:cs="Browallia New"/>
          <w:sz w:val="19"/>
          <w:szCs w:val="24"/>
          <w:lang w:val="en-US" w:bidi="th-TH"/>
        </w:rPr>
        <w:t>about</w:t>
      </w:r>
      <w:r w:rsidR="00CA113A" w:rsidRPr="00833D85">
        <w:rPr>
          <w:rFonts w:asciiTheme="majorHAnsi" w:hAnsiTheme="majorHAnsi" w:cs="Browallia New"/>
          <w:sz w:val="19"/>
          <w:szCs w:val="24"/>
          <w:lang w:val="en-US" w:bidi="th-TH"/>
        </w:rPr>
        <w:t xml:space="preserve"> the possib</w:t>
      </w:r>
      <w:r w:rsidR="00226416" w:rsidRPr="00833D85">
        <w:rPr>
          <w:rFonts w:asciiTheme="majorHAnsi" w:hAnsiTheme="majorHAnsi" w:cs="Browallia New"/>
          <w:sz w:val="19"/>
          <w:szCs w:val="24"/>
          <w:lang w:val="en-US" w:bidi="th-TH"/>
        </w:rPr>
        <w:t>ility</w:t>
      </w:r>
      <w:r w:rsidR="00CA113A" w:rsidRPr="00833D85">
        <w:rPr>
          <w:rFonts w:asciiTheme="majorHAnsi" w:hAnsiTheme="majorHAnsi" w:cs="Browallia New"/>
          <w:sz w:val="19"/>
          <w:szCs w:val="24"/>
          <w:lang w:val="en-US" w:bidi="th-TH"/>
        </w:rPr>
        <w:t xml:space="preserve"> of the</w:t>
      </w:r>
      <w:r w:rsidR="001F5EA9" w:rsidRPr="00833D85">
        <w:rPr>
          <w:rFonts w:asciiTheme="majorHAnsi" w:hAnsiTheme="majorHAnsi" w:cs="Browallia New"/>
          <w:sz w:val="19"/>
          <w:szCs w:val="24"/>
          <w:lang w:val="en-US" w:bidi="th-TH"/>
        </w:rPr>
        <w:t xml:space="preserve"> project to estimate the</w:t>
      </w:r>
      <w:r w:rsidR="00226416" w:rsidRPr="00833D85">
        <w:rPr>
          <w:rFonts w:asciiTheme="majorHAnsi" w:hAnsiTheme="majorHAnsi" w:cs="Browallia New"/>
          <w:sz w:val="19"/>
          <w:szCs w:val="24"/>
          <w:lang w:val="en-US" w:bidi="th-TH"/>
        </w:rPr>
        <w:t xml:space="preserve"> expected future</w:t>
      </w:r>
      <w:r w:rsidR="001F5EA9" w:rsidRPr="00833D85">
        <w:rPr>
          <w:rFonts w:asciiTheme="majorHAnsi" w:hAnsiTheme="majorHAnsi" w:cs="Browallia New"/>
          <w:sz w:val="19"/>
          <w:szCs w:val="24"/>
          <w:lang w:val="en-US" w:bidi="th-TH"/>
        </w:rPr>
        <w:t xml:space="preserve"> cash inflow</w:t>
      </w:r>
      <w:r w:rsidR="00226416" w:rsidRPr="00833D85">
        <w:rPr>
          <w:rFonts w:asciiTheme="majorHAnsi" w:hAnsiTheme="majorHAnsi" w:cs="Browallia New"/>
          <w:sz w:val="19"/>
          <w:szCs w:val="24"/>
          <w:lang w:val="en-US" w:bidi="th-TH"/>
        </w:rPr>
        <w:t>s</w:t>
      </w:r>
      <w:r w:rsidR="001F5EA9" w:rsidRPr="00833D85">
        <w:rPr>
          <w:rFonts w:asciiTheme="majorHAnsi" w:hAnsiTheme="majorHAnsi" w:cs="Browallia New"/>
          <w:sz w:val="19"/>
          <w:szCs w:val="24"/>
          <w:lang w:val="en-US" w:bidi="th-TH"/>
        </w:rPr>
        <w:t xml:space="preserve"> and outflow</w:t>
      </w:r>
      <w:r w:rsidR="00226416" w:rsidRPr="00833D85">
        <w:rPr>
          <w:rFonts w:asciiTheme="majorHAnsi" w:hAnsiTheme="majorHAnsi" w:cs="Browallia New"/>
          <w:sz w:val="19"/>
          <w:szCs w:val="24"/>
          <w:lang w:val="en-US" w:bidi="th-TH"/>
        </w:rPr>
        <w:t>s</w:t>
      </w:r>
      <w:r w:rsidR="006B7757" w:rsidRPr="00833D85">
        <w:rPr>
          <w:rFonts w:asciiTheme="majorHAnsi" w:hAnsiTheme="majorHAnsi" w:cs="Browallia New"/>
          <w:sz w:val="19"/>
          <w:szCs w:val="24"/>
          <w:lang w:val="en-US" w:bidi="th-TH"/>
        </w:rPr>
        <w:t xml:space="preserve"> since at present, the concession project </w:t>
      </w:r>
      <w:r w:rsidR="008F4FEE" w:rsidRPr="00833D85">
        <w:rPr>
          <w:rFonts w:asciiTheme="majorHAnsi" w:hAnsiTheme="majorHAnsi" w:cs="Browallia New"/>
          <w:sz w:val="19"/>
          <w:szCs w:val="24"/>
          <w:lang w:val="en-US" w:bidi="th-TH"/>
        </w:rPr>
        <w:t>of</w:t>
      </w:r>
      <w:r w:rsidR="00851F96" w:rsidRPr="00833D85">
        <w:rPr>
          <w:rFonts w:asciiTheme="majorHAnsi" w:hAnsiTheme="majorHAnsi" w:cs="Browallia New"/>
          <w:sz w:val="19"/>
          <w:szCs w:val="24"/>
          <w:lang w:val="en-US" w:bidi="th-TH"/>
        </w:rPr>
        <w:t xml:space="preserve"> such </w:t>
      </w:r>
      <w:r w:rsidR="00E54296">
        <w:rPr>
          <w:rFonts w:asciiTheme="majorHAnsi" w:hAnsiTheme="majorHAnsi" w:cs="Browallia New"/>
          <w:sz w:val="19"/>
          <w:szCs w:val="24"/>
          <w:lang w:val="en-US" w:bidi="th-TH"/>
        </w:rPr>
        <w:t>joint control</w:t>
      </w:r>
      <w:r w:rsidR="00851F96" w:rsidRPr="00833D85">
        <w:rPr>
          <w:rFonts w:asciiTheme="majorHAnsi" w:hAnsiTheme="majorHAnsi" w:cs="Browallia New"/>
          <w:sz w:val="19"/>
          <w:szCs w:val="24"/>
          <w:lang w:val="en-US" w:bidi="th-TH"/>
        </w:rPr>
        <w:t xml:space="preserve"> company (</w:t>
      </w:r>
      <w:r w:rsidR="008F4FEE" w:rsidRPr="00833D85">
        <w:rPr>
          <w:rFonts w:asciiTheme="majorHAnsi" w:hAnsiTheme="majorHAnsi" w:cs="Browallia New"/>
          <w:sz w:val="19"/>
          <w:szCs w:val="24"/>
          <w:lang w:val="en-US" w:bidi="th-TH"/>
        </w:rPr>
        <w:t>former subsidiary</w:t>
      </w:r>
      <w:r w:rsidR="00851F96" w:rsidRPr="00833D85">
        <w:rPr>
          <w:rFonts w:asciiTheme="majorHAnsi" w:hAnsiTheme="majorHAnsi" w:cs="Browallia New"/>
          <w:sz w:val="19"/>
          <w:szCs w:val="24"/>
          <w:lang w:val="en-US" w:bidi="th-TH"/>
        </w:rPr>
        <w:t>)</w:t>
      </w:r>
      <w:r w:rsidR="008F4FEE" w:rsidRPr="00833D85">
        <w:rPr>
          <w:rFonts w:asciiTheme="majorHAnsi" w:hAnsiTheme="majorHAnsi" w:cs="Browallia New"/>
          <w:sz w:val="19"/>
          <w:szCs w:val="24"/>
          <w:lang w:val="en-US" w:bidi="th-TH"/>
        </w:rPr>
        <w:t xml:space="preserve"> </w:t>
      </w:r>
      <w:r w:rsidR="006B7757" w:rsidRPr="00833D85">
        <w:rPr>
          <w:rFonts w:asciiTheme="majorHAnsi" w:hAnsiTheme="majorHAnsi" w:cs="Browallia New"/>
          <w:sz w:val="19"/>
          <w:szCs w:val="24"/>
          <w:lang w:val="en-US" w:bidi="th-TH"/>
        </w:rPr>
        <w:t xml:space="preserve">is </w:t>
      </w:r>
      <w:r w:rsidR="008F4FEE" w:rsidRPr="00833D85">
        <w:rPr>
          <w:rFonts w:asciiTheme="majorHAnsi" w:hAnsiTheme="majorHAnsi" w:cs="Browallia New"/>
          <w:sz w:val="19"/>
          <w:szCs w:val="24"/>
          <w:lang w:val="en-US" w:bidi="th-TH"/>
        </w:rPr>
        <w:t>under</w:t>
      </w:r>
      <w:r w:rsidR="006B7757" w:rsidRPr="00833D85">
        <w:rPr>
          <w:rFonts w:asciiTheme="majorHAnsi" w:hAnsiTheme="majorHAnsi" w:cs="Browallia New"/>
          <w:sz w:val="19"/>
          <w:szCs w:val="24"/>
          <w:lang w:val="en-US" w:bidi="th-TH"/>
        </w:rPr>
        <w:t xml:space="preserve"> the construction period</w:t>
      </w:r>
      <w:r w:rsidR="005B4DB3" w:rsidRPr="00833D85">
        <w:rPr>
          <w:rFonts w:asciiTheme="majorHAnsi" w:hAnsiTheme="majorHAnsi" w:cs="Browallia New"/>
          <w:sz w:val="19"/>
          <w:szCs w:val="24"/>
          <w:lang w:val="en-US" w:bidi="th-TH"/>
        </w:rPr>
        <w:t xml:space="preserve">. </w:t>
      </w:r>
      <w:r w:rsidR="00E92EDA" w:rsidRPr="00833D85">
        <w:rPr>
          <w:rFonts w:asciiTheme="majorHAnsi" w:hAnsiTheme="majorHAnsi" w:cs="Browallia New"/>
          <w:sz w:val="19"/>
          <w:szCs w:val="24"/>
          <w:lang w:val="en-US" w:bidi="th-TH"/>
        </w:rPr>
        <w:t xml:space="preserve">The actual cash flows </w:t>
      </w:r>
      <w:r w:rsidR="00A91165" w:rsidRPr="00833D85">
        <w:rPr>
          <w:rFonts w:asciiTheme="majorHAnsi" w:hAnsiTheme="majorHAnsi" w:cs="Browallia New"/>
          <w:sz w:val="19"/>
          <w:szCs w:val="24"/>
          <w:lang w:val="en-US" w:bidi="th-TH"/>
        </w:rPr>
        <w:t>are</w:t>
      </w:r>
      <w:r w:rsidR="00E92EDA" w:rsidRPr="00833D85">
        <w:rPr>
          <w:rFonts w:asciiTheme="majorHAnsi" w:hAnsiTheme="majorHAnsi" w:cs="Browallia New"/>
          <w:sz w:val="19"/>
          <w:szCs w:val="24"/>
          <w:lang w:val="en-US" w:bidi="th-TH"/>
        </w:rPr>
        <w:t xml:space="preserve"> subject to change</w:t>
      </w:r>
      <w:r w:rsidR="00AD3C1D" w:rsidRPr="00833D85">
        <w:rPr>
          <w:rFonts w:asciiTheme="majorHAnsi" w:hAnsiTheme="majorHAnsi" w:cs="Browallia New"/>
          <w:sz w:val="19"/>
          <w:szCs w:val="24"/>
          <w:lang w:val="en-US" w:bidi="th-TH"/>
        </w:rPr>
        <w:t xml:space="preserve"> which</w:t>
      </w:r>
      <w:r w:rsidR="00E92EDA" w:rsidRPr="00833D85">
        <w:rPr>
          <w:rFonts w:asciiTheme="majorHAnsi" w:hAnsiTheme="majorHAnsi" w:cs="Browallia New"/>
          <w:sz w:val="19"/>
          <w:szCs w:val="24"/>
          <w:lang w:val="en-US" w:bidi="th-TH"/>
        </w:rPr>
        <w:t xml:space="preserve"> </w:t>
      </w:r>
      <w:r w:rsidR="00AF1138" w:rsidRPr="00833D85">
        <w:rPr>
          <w:rFonts w:asciiTheme="majorHAnsi" w:hAnsiTheme="majorHAnsi" w:cs="Browallia New"/>
          <w:sz w:val="19"/>
          <w:szCs w:val="24"/>
          <w:lang w:val="en-US" w:bidi="th-TH"/>
        </w:rPr>
        <w:t xml:space="preserve">depending on the </w:t>
      </w:r>
      <w:r w:rsidR="0090202B" w:rsidRPr="00833D85">
        <w:rPr>
          <w:rFonts w:asciiTheme="majorHAnsi" w:hAnsiTheme="majorHAnsi" w:cs="Browallia New"/>
          <w:sz w:val="19"/>
          <w:szCs w:val="24"/>
          <w:lang w:val="en-US" w:bidi="th-TH"/>
        </w:rPr>
        <w:t>various</w:t>
      </w:r>
      <w:r w:rsidR="00AD3C1D" w:rsidRPr="00833D85">
        <w:rPr>
          <w:rFonts w:asciiTheme="majorHAnsi" w:hAnsiTheme="majorHAnsi" w:cs="Browallia New"/>
          <w:sz w:val="19"/>
          <w:szCs w:val="24"/>
          <w:lang w:val="en-US" w:bidi="th-TH"/>
        </w:rPr>
        <w:t xml:space="preserve"> </w:t>
      </w:r>
      <w:r w:rsidR="00AF1138" w:rsidRPr="00833D85">
        <w:rPr>
          <w:rFonts w:asciiTheme="majorHAnsi" w:hAnsiTheme="majorHAnsi" w:cs="Browallia New"/>
          <w:sz w:val="19"/>
          <w:szCs w:val="24"/>
          <w:lang w:val="en-US" w:bidi="th-TH"/>
        </w:rPr>
        <w:t>factors</w:t>
      </w:r>
      <w:r w:rsidR="00AD3C1D" w:rsidRPr="00833D85">
        <w:rPr>
          <w:rFonts w:asciiTheme="majorHAnsi" w:hAnsiTheme="majorHAnsi" w:cs="Browallia New"/>
          <w:sz w:val="19"/>
          <w:szCs w:val="24"/>
          <w:lang w:val="en-US" w:bidi="th-TH"/>
        </w:rPr>
        <w:t xml:space="preserve"> in the future. </w:t>
      </w:r>
      <w:r w:rsidR="00AF1138" w:rsidRPr="00833D85">
        <w:rPr>
          <w:rFonts w:asciiTheme="majorHAnsi" w:hAnsiTheme="majorHAnsi" w:cs="Browallia New"/>
          <w:sz w:val="19"/>
          <w:szCs w:val="24"/>
          <w:lang w:val="en-US" w:bidi="th-TH"/>
        </w:rPr>
        <w:t xml:space="preserve"> </w:t>
      </w:r>
    </w:p>
    <w:p w14:paraId="1C7566D1" w14:textId="15CF25A4" w:rsidR="00514B59" w:rsidRDefault="00514B59" w:rsidP="00514B59">
      <w:pPr>
        <w:autoSpaceDE w:val="0"/>
        <w:autoSpaceDN w:val="0"/>
        <w:adjustRightInd w:val="0"/>
        <w:spacing w:line="360" w:lineRule="auto"/>
        <w:jc w:val="thaiDistribute"/>
        <w:rPr>
          <w:rFonts w:asciiTheme="majorHAnsi" w:hAnsiTheme="majorHAnsi" w:cs="Browallia New"/>
          <w:sz w:val="19"/>
          <w:szCs w:val="24"/>
          <w:lang w:val="en-US" w:bidi="th-TH"/>
        </w:rPr>
      </w:pPr>
    </w:p>
    <w:p w14:paraId="46E3BB93" w14:textId="299FDCAE" w:rsidR="00514B59" w:rsidRDefault="00514B59" w:rsidP="00514B59">
      <w:pPr>
        <w:autoSpaceDE w:val="0"/>
        <w:autoSpaceDN w:val="0"/>
        <w:adjustRightInd w:val="0"/>
        <w:spacing w:line="360" w:lineRule="auto"/>
        <w:jc w:val="thaiDistribute"/>
        <w:rPr>
          <w:rFonts w:asciiTheme="majorHAnsi" w:hAnsiTheme="majorHAnsi" w:cs="Browallia New"/>
          <w:sz w:val="19"/>
          <w:szCs w:val="24"/>
          <w:lang w:val="en-US" w:bidi="th-TH"/>
        </w:rPr>
      </w:pPr>
    </w:p>
    <w:p w14:paraId="74E1D6B9" w14:textId="77777777" w:rsidR="00514B59" w:rsidRPr="00514B59" w:rsidRDefault="00514B59" w:rsidP="00514B59">
      <w:pPr>
        <w:autoSpaceDE w:val="0"/>
        <w:autoSpaceDN w:val="0"/>
        <w:adjustRightInd w:val="0"/>
        <w:spacing w:line="360" w:lineRule="auto"/>
        <w:jc w:val="thaiDistribute"/>
        <w:rPr>
          <w:rFonts w:asciiTheme="majorHAnsi" w:hAnsiTheme="majorHAnsi" w:cs="Browallia New"/>
          <w:sz w:val="19"/>
          <w:szCs w:val="24"/>
          <w:lang w:val="en-US" w:bidi="th-TH"/>
        </w:rPr>
      </w:pPr>
    </w:p>
    <w:p w14:paraId="77DA6EA3" w14:textId="22814471" w:rsidR="00B67D9B" w:rsidRDefault="00EF1EAF" w:rsidP="00B67D9B">
      <w:pPr>
        <w:autoSpaceDE w:val="0"/>
        <w:autoSpaceDN w:val="0"/>
        <w:adjustRightInd w:val="0"/>
        <w:spacing w:line="360" w:lineRule="auto"/>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lastRenderedPageBreak/>
        <w:t>Key Audit Matters</w:t>
      </w:r>
    </w:p>
    <w:p w14:paraId="483BB644" w14:textId="77777777" w:rsidR="00B67D9B" w:rsidRPr="00A62F85" w:rsidRDefault="00B67D9B" w:rsidP="00881170">
      <w:pPr>
        <w:pStyle w:val="ListParagraph"/>
        <w:spacing w:after="0" w:line="360" w:lineRule="auto"/>
        <w:ind w:left="450"/>
        <w:contextualSpacing w:val="0"/>
        <w:jc w:val="thaiDistribute"/>
        <w:rPr>
          <w:rFonts w:asciiTheme="majorHAnsi" w:hAnsiTheme="majorHAnsi" w:cstheme="majorHAnsi"/>
          <w:b/>
          <w:bCs/>
          <w:sz w:val="12"/>
          <w:szCs w:val="12"/>
          <w:lang w:val="en-US"/>
        </w:rPr>
      </w:pPr>
    </w:p>
    <w:p w14:paraId="053099D5" w14:textId="0BDB121F" w:rsidR="00EF1EAF" w:rsidRDefault="00EF1EAF" w:rsidP="00160053">
      <w:pPr>
        <w:autoSpaceDE w:val="0"/>
        <w:autoSpaceDN w:val="0"/>
        <w:adjustRightInd w:val="0"/>
        <w:spacing w:line="360" w:lineRule="auto"/>
        <w:jc w:val="thaiDistribute"/>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Key audit matters are those matters that, in my professional judgment, </w:t>
      </w:r>
      <w:r w:rsidR="00EF4E2C">
        <w:rPr>
          <w:rFonts w:asciiTheme="majorHAnsi" w:hAnsiTheme="majorHAnsi" w:cstheme="majorHAnsi"/>
          <w:sz w:val="19"/>
          <w:szCs w:val="19"/>
          <w:lang w:val="en-US"/>
        </w:rPr>
        <w:t>a</w:t>
      </w:r>
      <w:r w:rsidRPr="0032246D">
        <w:rPr>
          <w:rFonts w:asciiTheme="majorHAnsi" w:hAnsiTheme="majorHAnsi" w:cstheme="majorHAnsi"/>
          <w:sz w:val="19"/>
          <w:szCs w:val="19"/>
          <w:lang w:val="en-US"/>
        </w:rPr>
        <w:t>re of most significance in my audit of the</w:t>
      </w:r>
      <w:r w:rsidR="00595842">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595842">
        <w:rPr>
          <w:rFonts w:asciiTheme="majorHAnsi" w:hAnsiTheme="majorHAnsi" w:cstheme="majorHAnsi"/>
          <w:sz w:val="19"/>
          <w:szCs w:val="19"/>
          <w:lang w:val="en-US"/>
        </w:rPr>
        <w:t xml:space="preserve">onsolidated and </w:t>
      </w:r>
      <w:r w:rsidR="00504C38">
        <w:rPr>
          <w:rFonts w:asciiTheme="majorHAnsi" w:hAnsiTheme="majorHAnsi" w:cstheme="majorHAnsi"/>
          <w:sz w:val="19"/>
          <w:szCs w:val="19"/>
          <w:lang w:val="en-US"/>
        </w:rPr>
        <w:t>s</w:t>
      </w:r>
      <w:r w:rsidR="00595842">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of the current </w:t>
      </w:r>
      <w:r w:rsidR="00160053">
        <w:rPr>
          <w:rFonts w:asciiTheme="majorHAnsi" w:hAnsiTheme="majorHAnsi" w:cstheme="majorHAnsi"/>
          <w:sz w:val="19"/>
          <w:szCs w:val="19"/>
          <w:lang w:val="en-US"/>
        </w:rPr>
        <w:t>period</w:t>
      </w:r>
      <w:r w:rsidRPr="0032246D">
        <w:rPr>
          <w:rFonts w:asciiTheme="majorHAnsi" w:hAnsiTheme="majorHAnsi" w:cstheme="majorHAnsi"/>
          <w:sz w:val="19"/>
          <w:szCs w:val="19"/>
          <w:lang w:val="en-US"/>
        </w:rPr>
        <w:t>. These matters were addressed in the context of my audit of the</w:t>
      </w:r>
      <w:r w:rsidR="00042DCB">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042DCB">
        <w:rPr>
          <w:rFonts w:asciiTheme="majorHAnsi" w:hAnsiTheme="majorHAnsi" w:cstheme="majorHAnsi"/>
          <w:sz w:val="19"/>
          <w:szCs w:val="19"/>
          <w:lang w:val="en-US"/>
        </w:rPr>
        <w:t xml:space="preserve">onsolidated and </w:t>
      </w:r>
      <w:r w:rsidR="00504C38">
        <w:rPr>
          <w:rFonts w:asciiTheme="majorHAnsi" w:hAnsiTheme="majorHAnsi" w:cstheme="majorHAnsi"/>
          <w:sz w:val="19"/>
          <w:szCs w:val="19"/>
          <w:lang w:val="en-US"/>
        </w:rPr>
        <w:t>s</w:t>
      </w:r>
      <w:r w:rsidR="00042DCB">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w:t>
      </w:r>
      <w:proofErr w:type="gramStart"/>
      <w:r w:rsidRPr="0032246D">
        <w:rPr>
          <w:rFonts w:asciiTheme="majorHAnsi" w:hAnsiTheme="majorHAnsi" w:cstheme="majorHAnsi"/>
          <w:sz w:val="19"/>
          <w:szCs w:val="19"/>
          <w:lang w:val="en-US"/>
        </w:rPr>
        <w:t>statements as a whole, and</w:t>
      </w:r>
      <w:proofErr w:type="gramEnd"/>
      <w:r w:rsidRPr="0032246D">
        <w:rPr>
          <w:rFonts w:asciiTheme="majorHAnsi" w:hAnsiTheme="majorHAnsi" w:cstheme="majorHAnsi"/>
          <w:sz w:val="19"/>
          <w:szCs w:val="19"/>
          <w:lang w:val="en-US"/>
        </w:rPr>
        <w:t xml:space="preserve"> in forming my opinion thereon, and I do not provide a separate opinion on these matters. In addition to the matters described in the Basis for Qualified Opinion section</w:t>
      </w:r>
      <w:r w:rsidR="00160053">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 xml:space="preserve"> I have determined the matters described below to be the key audit matters to be communicated in my report. </w:t>
      </w:r>
    </w:p>
    <w:p w14:paraId="6E52EC2D" w14:textId="77777777" w:rsidR="00F915EB" w:rsidRPr="007F1266" w:rsidRDefault="00F915EB" w:rsidP="00160053">
      <w:pPr>
        <w:autoSpaceDE w:val="0"/>
        <w:autoSpaceDN w:val="0"/>
        <w:adjustRightInd w:val="0"/>
        <w:spacing w:line="360" w:lineRule="auto"/>
        <w:jc w:val="thaiDistribute"/>
        <w:rPr>
          <w:rFonts w:asciiTheme="majorHAnsi" w:hAnsiTheme="majorHAnsi" w:cstheme="majorHAnsi"/>
          <w:sz w:val="10"/>
          <w:szCs w:val="10"/>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253"/>
      </w:tblGrid>
      <w:tr w:rsidR="00443CB4" w:rsidRPr="00443CB4" w14:paraId="5AA5A653" w14:textId="77777777" w:rsidTr="00AB3DD5">
        <w:trPr>
          <w:tblHeader/>
        </w:trPr>
        <w:tc>
          <w:tcPr>
            <w:tcW w:w="4106" w:type="dxa"/>
            <w:tcBorders>
              <w:bottom w:val="single" w:sz="4" w:space="0" w:color="auto"/>
            </w:tcBorders>
            <w:shd w:val="clear" w:color="auto" w:fill="5D3597"/>
          </w:tcPr>
          <w:p w14:paraId="3794CBF8" w14:textId="77777777" w:rsidR="00EF1EAF" w:rsidRPr="00443CB4" w:rsidRDefault="00EF1EAF" w:rsidP="00A62B3D">
            <w:pPr>
              <w:tabs>
                <w:tab w:val="left" w:pos="0"/>
              </w:tabs>
              <w:spacing w:line="360" w:lineRule="auto"/>
              <w:jc w:val="thaiDistribute"/>
              <w:rPr>
                <w:rFonts w:asciiTheme="majorHAnsi" w:hAnsiTheme="majorHAnsi" w:cstheme="majorHAnsi"/>
                <w:b/>
                <w:bCs/>
                <w:color w:val="FFFFFF" w:themeColor="background1"/>
                <w:szCs w:val="18"/>
                <w:lang w:val="en-US"/>
              </w:rPr>
            </w:pPr>
            <w:r w:rsidRPr="00443CB4">
              <w:rPr>
                <w:rFonts w:asciiTheme="majorHAnsi" w:hAnsiTheme="majorHAnsi" w:cstheme="majorHAnsi"/>
                <w:b/>
                <w:bCs/>
                <w:color w:val="FFFFFF" w:themeColor="background1"/>
                <w:szCs w:val="18"/>
                <w:lang w:val="en-US"/>
              </w:rPr>
              <w:t>Key audit matters</w:t>
            </w:r>
          </w:p>
        </w:tc>
        <w:tc>
          <w:tcPr>
            <w:tcW w:w="4253" w:type="dxa"/>
            <w:tcBorders>
              <w:bottom w:val="single" w:sz="4" w:space="0" w:color="auto"/>
            </w:tcBorders>
            <w:shd w:val="clear" w:color="auto" w:fill="5D3597"/>
          </w:tcPr>
          <w:p w14:paraId="6261BD3D" w14:textId="3078BF3C" w:rsidR="00EF1EAF" w:rsidRPr="00443CB4" w:rsidRDefault="00235B44" w:rsidP="00A62B3D">
            <w:pPr>
              <w:tabs>
                <w:tab w:val="left" w:pos="0"/>
              </w:tabs>
              <w:spacing w:line="360" w:lineRule="auto"/>
              <w:jc w:val="thaiDistribute"/>
              <w:rPr>
                <w:rFonts w:asciiTheme="majorHAnsi" w:hAnsiTheme="majorHAnsi" w:cstheme="majorHAnsi"/>
                <w:b/>
                <w:bCs/>
                <w:color w:val="FFFFFF" w:themeColor="background1"/>
                <w:szCs w:val="18"/>
                <w:lang w:val="en-US"/>
              </w:rPr>
            </w:pPr>
            <w:r w:rsidRPr="00443CB4">
              <w:rPr>
                <w:rFonts w:asciiTheme="majorHAnsi" w:hAnsiTheme="majorHAnsi" w:cstheme="majorHAnsi"/>
                <w:b/>
                <w:bCs/>
                <w:color w:val="FFFFFF" w:themeColor="background1"/>
                <w:szCs w:val="18"/>
                <w:lang w:val="en-US"/>
              </w:rPr>
              <w:t>How the matter was addressed in the audit</w:t>
            </w:r>
          </w:p>
        </w:tc>
      </w:tr>
      <w:tr w:rsidR="00EF1EAF" w:rsidRPr="0032246D" w14:paraId="666B6331" w14:textId="77777777" w:rsidTr="00A62B3D">
        <w:tc>
          <w:tcPr>
            <w:tcW w:w="4106" w:type="dxa"/>
            <w:tcBorders>
              <w:bottom w:val="single" w:sz="4" w:space="0" w:color="auto"/>
            </w:tcBorders>
            <w:shd w:val="clear" w:color="auto" w:fill="auto"/>
          </w:tcPr>
          <w:p w14:paraId="1FEA9DD7"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i/>
                <w:iCs/>
                <w:szCs w:val="18"/>
                <w:lang w:val="en-US"/>
              </w:rPr>
            </w:pPr>
          </w:p>
          <w:p w14:paraId="43F19863" w14:textId="77777777" w:rsidR="004D1EDF" w:rsidRDefault="007568DA" w:rsidP="004D1EDF">
            <w:pPr>
              <w:autoSpaceDE w:val="0"/>
              <w:autoSpaceDN w:val="0"/>
              <w:adjustRightInd w:val="0"/>
              <w:spacing w:line="360" w:lineRule="auto"/>
              <w:jc w:val="both"/>
              <w:rPr>
                <w:rFonts w:asciiTheme="majorHAnsi" w:hAnsiTheme="majorHAnsi" w:cstheme="majorHAnsi"/>
                <w:b/>
                <w:bCs/>
                <w:spacing w:val="-2"/>
                <w:szCs w:val="18"/>
                <w:lang w:val="en-US"/>
              </w:rPr>
            </w:pPr>
            <w:r w:rsidRPr="007568DA">
              <w:rPr>
                <w:rFonts w:asciiTheme="majorHAnsi" w:hAnsiTheme="majorHAnsi" w:cstheme="majorHAnsi"/>
                <w:b/>
                <w:bCs/>
                <w:spacing w:val="-2"/>
                <w:szCs w:val="18"/>
                <w:lang w:val="en-US"/>
              </w:rPr>
              <w:t>Revenue recognition for construction contract</w:t>
            </w:r>
          </w:p>
          <w:p w14:paraId="3367DB75" w14:textId="425CBF61" w:rsidR="00CF6359" w:rsidRDefault="00EF1EAF" w:rsidP="004D1EDF">
            <w:pPr>
              <w:autoSpaceDE w:val="0"/>
              <w:autoSpaceDN w:val="0"/>
              <w:adjustRightInd w:val="0"/>
              <w:spacing w:line="360" w:lineRule="auto"/>
              <w:jc w:val="both"/>
              <w:rPr>
                <w:rFonts w:asciiTheme="majorHAnsi" w:hAnsiTheme="majorHAnsi" w:cstheme="majorHAnsi"/>
                <w:spacing w:val="-2"/>
                <w:szCs w:val="18"/>
                <w:lang w:val="en-US"/>
              </w:rPr>
            </w:pPr>
            <w:r w:rsidRPr="007568DA">
              <w:rPr>
                <w:rFonts w:asciiTheme="majorHAnsi" w:hAnsiTheme="majorHAnsi" w:cstheme="majorHAnsi"/>
                <w:spacing w:val="-2"/>
                <w:szCs w:val="18"/>
                <w:lang w:val="en-US"/>
              </w:rPr>
              <w:t>The Group and the Company have revenues from construction services for the year ended 31 December 20</w:t>
            </w:r>
            <w:r w:rsidR="00B37CDE">
              <w:rPr>
                <w:rFonts w:asciiTheme="majorHAnsi" w:hAnsiTheme="majorHAnsi" w:cstheme="majorHAnsi"/>
                <w:spacing w:val="-2"/>
                <w:szCs w:val="18"/>
                <w:lang w:val="en-US"/>
              </w:rPr>
              <w:t>20</w:t>
            </w:r>
            <w:r w:rsidRPr="007568DA">
              <w:rPr>
                <w:rFonts w:asciiTheme="majorHAnsi" w:hAnsiTheme="majorHAnsi" w:cstheme="majorHAnsi"/>
                <w:spacing w:val="-2"/>
                <w:szCs w:val="18"/>
                <w:lang w:val="en-US"/>
              </w:rPr>
              <w:t xml:space="preserve"> of </w:t>
            </w:r>
            <w:r w:rsidRPr="00F20FF2">
              <w:rPr>
                <w:rFonts w:asciiTheme="majorHAnsi" w:hAnsiTheme="majorHAnsi" w:cstheme="majorHAnsi"/>
                <w:spacing w:val="-2"/>
                <w:szCs w:val="18"/>
                <w:lang w:val="en-US"/>
              </w:rPr>
              <w:t xml:space="preserve">Baht </w:t>
            </w:r>
            <w:r w:rsidR="008F3594">
              <w:rPr>
                <w:rFonts w:asciiTheme="majorHAnsi" w:hAnsiTheme="majorHAnsi" w:cstheme="majorHAnsi"/>
                <w:spacing w:val="-2"/>
                <w:szCs w:val="18"/>
                <w:lang w:val="en-US"/>
              </w:rPr>
              <w:t>46</w:t>
            </w:r>
            <w:r w:rsidR="00507354">
              <w:rPr>
                <w:rFonts w:asciiTheme="majorHAnsi" w:hAnsiTheme="majorHAnsi" w:cstheme="majorHAnsi"/>
                <w:spacing w:val="-2"/>
                <w:szCs w:val="18"/>
                <w:lang w:val="en-US"/>
              </w:rPr>
              <w:t>,</w:t>
            </w:r>
            <w:r w:rsidR="008F3594">
              <w:rPr>
                <w:rFonts w:asciiTheme="majorHAnsi" w:hAnsiTheme="majorHAnsi" w:cstheme="majorHAnsi"/>
                <w:spacing w:val="-2"/>
                <w:szCs w:val="18"/>
                <w:lang w:val="en-US"/>
              </w:rPr>
              <w:t>189</w:t>
            </w:r>
            <w:r w:rsidR="00507354">
              <w:rPr>
                <w:rFonts w:asciiTheme="majorHAnsi" w:hAnsiTheme="majorHAnsi" w:cstheme="majorHAnsi"/>
                <w:spacing w:val="-2"/>
                <w:szCs w:val="18"/>
                <w:lang w:val="en-US"/>
              </w:rPr>
              <w:t>.</w:t>
            </w:r>
            <w:r w:rsidR="008F3594">
              <w:rPr>
                <w:rFonts w:asciiTheme="majorHAnsi" w:hAnsiTheme="majorHAnsi" w:cstheme="majorHAnsi"/>
                <w:spacing w:val="-2"/>
                <w:szCs w:val="18"/>
                <w:lang w:val="en-US"/>
              </w:rPr>
              <w:t>11</w:t>
            </w:r>
            <w:r w:rsidRPr="00F20FF2">
              <w:rPr>
                <w:rFonts w:asciiTheme="majorHAnsi" w:hAnsiTheme="majorHAnsi" w:cstheme="majorHAnsi"/>
                <w:spacing w:val="-2"/>
                <w:szCs w:val="18"/>
                <w:lang w:val="en-US"/>
              </w:rPr>
              <w:t xml:space="preserve"> million and Baht </w:t>
            </w:r>
            <w:r w:rsidR="00507354">
              <w:rPr>
                <w:rFonts w:asciiTheme="majorHAnsi" w:hAnsiTheme="majorHAnsi" w:cstheme="majorHAnsi"/>
                <w:spacing w:val="-2"/>
                <w:szCs w:val="18"/>
                <w:lang w:val="en-US"/>
              </w:rPr>
              <w:t>3</w:t>
            </w:r>
            <w:r w:rsidR="008F3594">
              <w:rPr>
                <w:rFonts w:asciiTheme="majorHAnsi" w:hAnsiTheme="majorHAnsi" w:cstheme="majorHAnsi"/>
                <w:spacing w:val="-2"/>
                <w:szCs w:val="18"/>
                <w:lang w:val="en-US"/>
              </w:rPr>
              <w:t>5</w:t>
            </w:r>
            <w:r w:rsidR="00507354">
              <w:rPr>
                <w:rFonts w:asciiTheme="majorHAnsi" w:hAnsiTheme="majorHAnsi" w:cstheme="majorHAnsi"/>
                <w:spacing w:val="-2"/>
                <w:szCs w:val="18"/>
                <w:lang w:val="en-US"/>
              </w:rPr>
              <w:t>,</w:t>
            </w:r>
            <w:r w:rsidR="008F3594">
              <w:rPr>
                <w:rFonts w:asciiTheme="majorHAnsi" w:hAnsiTheme="majorHAnsi" w:cstheme="majorHAnsi"/>
                <w:spacing w:val="-2"/>
                <w:szCs w:val="18"/>
                <w:lang w:val="en-US"/>
              </w:rPr>
              <w:t>293</w:t>
            </w:r>
            <w:r w:rsidR="00507354">
              <w:rPr>
                <w:rFonts w:asciiTheme="majorHAnsi" w:hAnsiTheme="majorHAnsi" w:cstheme="majorHAnsi"/>
                <w:spacing w:val="-2"/>
                <w:szCs w:val="18"/>
                <w:lang w:val="en-US"/>
              </w:rPr>
              <w:t>.</w:t>
            </w:r>
            <w:r w:rsidR="008F3594">
              <w:rPr>
                <w:rFonts w:asciiTheme="majorHAnsi" w:hAnsiTheme="majorHAnsi" w:cstheme="majorHAnsi"/>
                <w:spacing w:val="-2"/>
                <w:szCs w:val="18"/>
                <w:lang w:val="en-US"/>
              </w:rPr>
              <w:t>89</w:t>
            </w:r>
            <w:r w:rsidR="007568DA" w:rsidRPr="00F20FF2">
              <w:rPr>
                <w:rFonts w:asciiTheme="majorHAnsi" w:hAnsiTheme="majorHAnsi" w:cstheme="majorHAnsi"/>
                <w:spacing w:val="-2"/>
                <w:szCs w:val="18"/>
                <w:lang w:val="en-US"/>
              </w:rPr>
              <w:t xml:space="preserve"> </w:t>
            </w:r>
            <w:r w:rsidRPr="00F20FF2">
              <w:rPr>
                <w:rFonts w:asciiTheme="majorHAnsi" w:hAnsiTheme="majorHAnsi" w:cstheme="majorHAnsi"/>
                <w:spacing w:val="-2"/>
                <w:szCs w:val="18"/>
                <w:lang w:val="en-US"/>
              </w:rPr>
              <w:t>million, respectively</w:t>
            </w:r>
            <w:r w:rsidRPr="007568DA">
              <w:rPr>
                <w:rFonts w:asciiTheme="majorHAnsi" w:hAnsiTheme="majorHAnsi" w:cstheme="majorHAnsi"/>
                <w:spacing w:val="-2"/>
                <w:szCs w:val="18"/>
                <w:lang w:val="en-US"/>
              </w:rPr>
              <w:t>.</w:t>
            </w:r>
            <w:r w:rsidRPr="007568DA">
              <w:rPr>
                <w:rFonts w:asciiTheme="majorHAnsi" w:hAnsiTheme="majorHAnsi" w:cstheme="majorHAnsi"/>
                <w:spacing w:val="-2"/>
                <w:szCs w:val="18"/>
                <w:rtl/>
                <w:cs/>
              </w:rPr>
              <w:t xml:space="preserve"> </w:t>
            </w:r>
            <w:r w:rsidRPr="007568DA">
              <w:rPr>
                <w:rFonts w:asciiTheme="majorHAnsi" w:hAnsiTheme="majorHAnsi" w:cstheme="majorHAnsi"/>
                <w:spacing w:val="-2"/>
                <w:szCs w:val="18"/>
                <w:lang w:val="en-US"/>
              </w:rPr>
              <w:t xml:space="preserve">Revenue recognition for construction services requires significant judgment and </w:t>
            </w:r>
            <w:r w:rsidR="00751079">
              <w:rPr>
                <w:rFonts w:asciiTheme="majorHAnsi" w:hAnsiTheme="majorHAnsi" w:cstheme="majorHAnsi"/>
                <w:spacing w:val="-2"/>
                <w:szCs w:val="18"/>
                <w:lang w:val="en-US"/>
              </w:rPr>
              <w:t>assumption to assess the appropriat</w:t>
            </w:r>
            <w:r w:rsidR="00930750">
              <w:rPr>
                <w:rFonts w:asciiTheme="majorHAnsi" w:hAnsiTheme="majorHAnsi" w:cstheme="majorHAnsi"/>
                <w:spacing w:val="-2"/>
                <w:szCs w:val="18"/>
                <w:lang w:val="en-US"/>
              </w:rPr>
              <w:t>eness of</w:t>
            </w:r>
            <w:r w:rsidR="000A5073">
              <w:rPr>
                <w:rFonts w:asciiTheme="majorHAnsi" w:hAnsiTheme="majorHAnsi" w:cstheme="majorHAnsi"/>
                <w:spacing w:val="-2"/>
                <w:szCs w:val="18"/>
                <w:lang w:val="en-US"/>
              </w:rPr>
              <w:t xml:space="preserve"> the</w:t>
            </w:r>
            <w:r w:rsidR="00930750">
              <w:rPr>
                <w:rFonts w:asciiTheme="majorHAnsi" w:hAnsiTheme="majorHAnsi" w:cstheme="majorHAnsi"/>
                <w:spacing w:val="-2"/>
                <w:szCs w:val="18"/>
                <w:lang w:val="en-US"/>
              </w:rPr>
              <w:t xml:space="preserve"> </w:t>
            </w:r>
            <w:r w:rsidRPr="007568DA">
              <w:rPr>
                <w:rFonts w:asciiTheme="majorHAnsi" w:hAnsiTheme="majorHAnsi" w:cstheme="majorHAnsi"/>
                <w:spacing w:val="-2"/>
                <w:szCs w:val="18"/>
                <w:lang w:val="en-US"/>
              </w:rPr>
              <w:t>estimat</w:t>
            </w:r>
            <w:r w:rsidR="000A5073">
              <w:rPr>
                <w:rFonts w:asciiTheme="majorHAnsi" w:hAnsiTheme="majorHAnsi" w:cstheme="majorHAnsi"/>
                <w:spacing w:val="-2"/>
                <w:szCs w:val="18"/>
                <w:lang w:val="en-US"/>
              </w:rPr>
              <w:t xml:space="preserve">ion </w:t>
            </w:r>
            <w:r w:rsidR="006F5321">
              <w:rPr>
                <w:rFonts w:asciiTheme="majorHAnsi" w:hAnsiTheme="majorHAnsi" w:cstheme="majorHAnsi"/>
                <w:spacing w:val="-2"/>
                <w:szCs w:val="18"/>
                <w:lang w:val="en-US"/>
              </w:rPr>
              <w:t>of</w:t>
            </w:r>
            <w:r w:rsidR="002E121E">
              <w:rPr>
                <w:rFonts w:asciiTheme="majorHAnsi" w:hAnsiTheme="majorHAnsi" w:cstheme="majorHAnsi"/>
                <w:spacing w:val="-2"/>
                <w:szCs w:val="18"/>
                <w:lang w:val="en-US"/>
              </w:rPr>
              <w:t xml:space="preserve"> transaction</w:t>
            </w:r>
            <w:r w:rsidR="006F5321">
              <w:rPr>
                <w:rFonts w:asciiTheme="majorHAnsi" w:hAnsiTheme="majorHAnsi" w:cstheme="majorHAnsi"/>
                <w:spacing w:val="-2"/>
                <w:szCs w:val="18"/>
                <w:lang w:val="en-US"/>
              </w:rPr>
              <w:t xml:space="preserve"> relat</w:t>
            </w:r>
            <w:r w:rsidR="0052331C">
              <w:rPr>
                <w:rFonts w:asciiTheme="majorHAnsi" w:hAnsiTheme="majorHAnsi" w:cstheme="majorHAnsi"/>
                <w:spacing w:val="-2"/>
                <w:szCs w:val="18"/>
                <w:lang w:val="en-US"/>
              </w:rPr>
              <w:t>ing to</w:t>
            </w:r>
            <w:r w:rsidR="00AC4A98">
              <w:rPr>
                <w:rFonts w:asciiTheme="majorHAnsi" w:hAnsiTheme="majorHAnsi" w:cstheme="majorHAnsi"/>
                <w:spacing w:val="-2"/>
                <w:szCs w:val="18"/>
                <w:lang w:val="en-US"/>
              </w:rPr>
              <w:t xml:space="preserve"> the revenue </w:t>
            </w:r>
            <w:r w:rsidR="007102B1">
              <w:rPr>
                <w:rFonts w:asciiTheme="majorHAnsi" w:hAnsiTheme="majorHAnsi" w:cstheme="majorHAnsi"/>
                <w:spacing w:val="-2"/>
                <w:szCs w:val="18"/>
                <w:lang w:val="en-US"/>
              </w:rPr>
              <w:t xml:space="preserve">recognition in each contract. </w:t>
            </w:r>
          </w:p>
          <w:p w14:paraId="248D9384" w14:textId="71473B5B" w:rsidR="00FC5A76" w:rsidRDefault="007D3971" w:rsidP="007568DA">
            <w:pPr>
              <w:autoSpaceDE w:val="0"/>
              <w:autoSpaceDN w:val="0"/>
              <w:adjustRightInd w:val="0"/>
              <w:spacing w:line="360" w:lineRule="auto"/>
              <w:jc w:val="both"/>
              <w:rPr>
                <w:rFonts w:asciiTheme="majorHAnsi" w:hAnsiTheme="majorHAnsi" w:cstheme="majorHAnsi"/>
                <w:spacing w:val="-2"/>
                <w:szCs w:val="18"/>
                <w:lang w:val="en-US"/>
              </w:rPr>
            </w:pPr>
            <w:r>
              <w:rPr>
                <w:rFonts w:asciiTheme="majorHAnsi" w:hAnsiTheme="majorHAnsi" w:cstheme="majorHAnsi"/>
                <w:spacing w:val="-2"/>
                <w:szCs w:val="18"/>
                <w:lang w:val="en-US"/>
              </w:rPr>
              <w:t>Revenues from construction servi</w:t>
            </w:r>
            <w:r w:rsidR="00025625">
              <w:rPr>
                <w:rFonts w:asciiTheme="majorHAnsi" w:hAnsiTheme="majorHAnsi" w:cstheme="majorHAnsi"/>
                <w:spacing w:val="-2"/>
                <w:szCs w:val="18"/>
                <w:lang w:val="en-US"/>
              </w:rPr>
              <w:t xml:space="preserve">ces </w:t>
            </w:r>
            <w:r w:rsidR="00081C0D">
              <w:rPr>
                <w:rFonts w:asciiTheme="majorHAnsi" w:hAnsiTheme="majorHAnsi" w:cstheme="majorHAnsi"/>
                <w:spacing w:val="-2"/>
                <w:szCs w:val="18"/>
                <w:lang w:val="en-US"/>
              </w:rPr>
              <w:t xml:space="preserve">of the Group </w:t>
            </w:r>
            <w:r w:rsidR="002B1043">
              <w:rPr>
                <w:rFonts w:asciiTheme="majorHAnsi" w:hAnsiTheme="majorHAnsi" w:cstheme="majorHAnsi"/>
                <w:spacing w:val="-2"/>
                <w:szCs w:val="18"/>
                <w:lang w:val="en-US"/>
              </w:rPr>
              <w:t xml:space="preserve">are </w:t>
            </w:r>
            <w:r w:rsidR="003B45BA">
              <w:rPr>
                <w:rFonts w:asciiTheme="majorHAnsi" w:hAnsiTheme="majorHAnsi" w:cstheme="majorHAnsi"/>
                <w:spacing w:val="-2"/>
                <w:szCs w:val="18"/>
                <w:lang w:val="en-US"/>
              </w:rPr>
              <w:t>recognize</w:t>
            </w:r>
            <w:r w:rsidR="002B1043">
              <w:rPr>
                <w:rFonts w:asciiTheme="majorHAnsi" w:hAnsiTheme="majorHAnsi" w:cstheme="majorHAnsi"/>
                <w:spacing w:val="-2"/>
                <w:szCs w:val="18"/>
                <w:lang w:val="en-US"/>
              </w:rPr>
              <w:t>d</w:t>
            </w:r>
            <w:r w:rsidR="003B45BA">
              <w:rPr>
                <w:rFonts w:asciiTheme="majorHAnsi" w:hAnsiTheme="majorHAnsi" w:cstheme="majorHAnsi"/>
                <w:spacing w:val="-2"/>
                <w:szCs w:val="18"/>
                <w:lang w:val="en-US"/>
              </w:rPr>
              <w:t xml:space="preserve"> over</w:t>
            </w:r>
            <w:r w:rsidR="008F2185">
              <w:rPr>
                <w:rFonts w:asciiTheme="majorHAnsi" w:hAnsiTheme="majorHAnsi" w:cstheme="majorHAnsi"/>
                <w:spacing w:val="-2"/>
                <w:szCs w:val="18"/>
                <w:lang w:val="en-US"/>
              </w:rPr>
              <w:t xml:space="preserve"> </w:t>
            </w:r>
            <w:r w:rsidR="00276599">
              <w:rPr>
                <w:rFonts w:asciiTheme="majorHAnsi" w:hAnsiTheme="majorHAnsi" w:cstheme="majorHAnsi"/>
                <w:spacing w:val="-2"/>
                <w:szCs w:val="18"/>
                <w:lang w:val="en-US"/>
              </w:rPr>
              <w:t>time</w:t>
            </w:r>
            <w:r w:rsidR="008E796A">
              <w:rPr>
                <w:rFonts w:asciiTheme="majorHAnsi" w:hAnsiTheme="majorHAnsi" w:cstheme="majorHAnsi"/>
                <w:spacing w:val="-2"/>
                <w:szCs w:val="18"/>
                <w:lang w:val="en-US"/>
              </w:rPr>
              <w:t xml:space="preserve"> </w:t>
            </w:r>
            <w:r w:rsidR="00DF2138">
              <w:rPr>
                <w:rFonts w:asciiTheme="majorHAnsi" w:hAnsiTheme="majorHAnsi" w:cstheme="majorHAnsi"/>
                <w:spacing w:val="-2"/>
                <w:szCs w:val="18"/>
                <w:lang w:val="en-US"/>
              </w:rPr>
              <w:t>by</w:t>
            </w:r>
            <w:r w:rsidR="000F1BB1">
              <w:rPr>
                <w:rFonts w:asciiTheme="majorHAnsi" w:hAnsiTheme="majorHAnsi" w:cstheme="majorHAnsi"/>
                <w:spacing w:val="-2"/>
                <w:szCs w:val="18"/>
                <w:lang w:val="en-US"/>
              </w:rPr>
              <w:t xml:space="preserve"> </w:t>
            </w:r>
            <w:r w:rsidR="008E796A">
              <w:rPr>
                <w:rFonts w:asciiTheme="majorHAnsi" w:hAnsiTheme="majorHAnsi" w:cstheme="majorHAnsi"/>
                <w:spacing w:val="-2"/>
                <w:szCs w:val="18"/>
                <w:lang w:val="en-US"/>
              </w:rPr>
              <w:t>measur</w:t>
            </w:r>
            <w:r w:rsidR="00DF2138">
              <w:rPr>
                <w:rFonts w:asciiTheme="majorHAnsi" w:hAnsiTheme="majorHAnsi" w:cstheme="majorHAnsi"/>
                <w:spacing w:val="-2"/>
                <w:szCs w:val="18"/>
                <w:lang w:val="en-US"/>
              </w:rPr>
              <w:t>ing</w:t>
            </w:r>
            <w:r w:rsidR="008E796A">
              <w:rPr>
                <w:rFonts w:asciiTheme="majorHAnsi" w:hAnsiTheme="majorHAnsi" w:cstheme="majorHAnsi"/>
                <w:spacing w:val="-2"/>
                <w:szCs w:val="18"/>
                <w:lang w:val="en-US"/>
              </w:rPr>
              <w:t xml:space="preserve"> the progress</w:t>
            </w:r>
            <w:r w:rsidR="008F3643">
              <w:rPr>
                <w:rFonts w:asciiTheme="majorHAnsi" w:hAnsiTheme="majorHAnsi" w:cstheme="majorHAnsi"/>
                <w:spacing w:val="-2"/>
                <w:szCs w:val="18"/>
                <w:lang w:val="en-US"/>
              </w:rPr>
              <w:t xml:space="preserve"> of</w:t>
            </w:r>
            <w:r w:rsidR="00FC5A76">
              <w:rPr>
                <w:rFonts w:asciiTheme="majorHAnsi" w:hAnsiTheme="majorHAnsi" w:cstheme="majorHAnsi"/>
                <w:spacing w:val="-2"/>
                <w:szCs w:val="18"/>
                <w:lang w:val="en-US"/>
              </w:rPr>
              <w:t xml:space="preserve"> construction </w:t>
            </w:r>
            <w:r w:rsidR="00A93762">
              <w:rPr>
                <w:rFonts w:asciiTheme="majorHAnsi" w:hAnsiTheme="majorHAnsi" w:cstheme="majorHAnsi"/>
                <w:spacing w:val="-2"/>
                <w:szCs w:val="18"/>
                <w:lang w:val="en-US"/>
              </w:rPr>
              <w:t>work</w:t>
            </w:r>
            <w:r w:rsidR="00FC5A76">
              <w:rPr>
                <w:rFonts w:asciiTheme="majorHAnsi" w:hAnsiTheme="majorHAnsi" w:cstheme="majorHAnsi"/>
                <w:spacing w:val="-2"/>
                <w:szCs w:val="18"/>
                <w:lang w:val="en-US"/>
              </w:rPr>
              <w:t xml:space="preserve"> </w:t>
            </w:r>
            <w:r w:rsidR="00DF2138">
              <w:rPr>
                <w:rFonts w:asciiTheme="majorHAnsi" w:hAnsiTheme="majorHAnsi" w:cstheme="majorHAnsi"/>
                <w:spacing w:val="-2"/>
                <w:szCs w:val="18"/>
                <w:lang w:val="en-US"/>
              </w:rPr>
              <w:t>by</w:t>
            </w:r>
            <w:r w:rsidR="00FC5A76">
              <w:rPr>
                <w:rFonts w:asciiTheme="majorHAnsi" w:hAnsiTheme="majorHAnsi" w:cstheme="majorHAnsi"/>
                <w:spacing w:val="-2"/>
                <w:szCs w:val="18"/>
                <w:lang w:val="en-US"/>
              </w:rPr>
              <w:t xml:space="preserve"> contract</w:t>
            </w:r>
            <w:r w:rsidR="00DF2138">
              <w:rPr>
                <w:rFonts w:asciiTheme="majorHAnsi" w:hAnsiTheme="majorHAnsi" w:cstheme="majorHAnsi"/>
                <w:spacing w:val="-2"/>
                <w:szCs w:val="18"/>
                <w:lang w:val="en-US"/>
              </w:rPr>
              <w:t>,</w:t>
            </w:r>
            <w:r w:rsidR="00FC5A76">
              <w:rPr>
                <w:rFonts w:asciiTheme="majorHAnsi" w:hAnsiTheme="majorHAnsi" w:cstheme="majorHAnsi"/>
                <w:spacing w:val="-2"/>
                <w:szCs w:val="18"/>
                <w:lang w:val="en-US"/>
              </w:rPr>
              <w:t xml:space="preserve"> by</w:t>
            </w:r>
            <w:r w:rsidR="00AA41D4">
              <w:rPr>
                <w:rFonts w:asciiTheme="majorHAnsi" w:hAnsiTheme="majorHAnsi" w:cstheme="majorHAnsi"/>
                <w:spacing w:val="-2"/>
                <w:szCs w:val="18"/>
                <w:lang w:val="en-US"/>
              </w:rPr>
              <w:t xml:space="preserve"> the percentage</w:t>
            </w:r>
            <w:r w:rsidR="00AE4791">
              <w:rPr>
                <w:rFonts w:asciiTheme="majorHAnsi" w:hAnsiTheme="majorHAnsi" w:cstheme="minorBidi" w:hint="cs"/>
                <w:spacing w:val="-2"/>
                <w:szCs w:val="22"/>
                <w:cs/>
                <w:lang w:val="en-US" w:bidi="th-TH"/>
              </w:rPr>
              <w:t xml:space="preserve"> </w:t>
            </w:r>
            <w:r w:rsidR="00AE4791">
              <w:rPr>
                <w:rFonts w:asciiTheme="majorHAnsi" w:hAnsiTheme="majorHAnsi" w:cstheme="minorBidi"/>
                <w:spacing w:val="-2"/>
                <w:szCs w:val="22"/>
                <w:lang w:val="en-US" w:bidi="th-TH"/>
              </w:rPr>
              <w:t xml:space="preserve">of </w:t>
            </w:r>
            <w:r w:rsidR="00B27CC4">
              <w:rPr>
                <w:rFonts w:asciiTheme="majorHAnsi" w:hAnsiTheme="majorHAnsi" w:cstheme="majorHAnsi"/>
                <w:spacing w:val="-2"/>
                <w:szCs w:val="18"/>
                <w:lang w:val="en-US"/>
              </w:rPr>
              <w:t>cumulative cost</w:t>
            </w:r>
            <w:r w:rsidR="00B33415">
              <w:rPr>
                <w:rFonts w:asciiTheme="majorHAnsi" w:hAnsiTheme="majorHAnsi" w:cstheme="majorHAnsi"/>
                <w:spacing w:val="-2"/>
                <w:szCs w:val="18"/>
                <w:lang w:val="en-US"/>
              </w:rPr>
              <w:t xml:space="preserve">s </w:t>
            </w:r>
            <w:r w:rsidR="00ED1EAE">
              <w:rPr>
                <w:rFonts w:asciiTheme="majorHAnsi" w:hAnsiTheme="majorHAnsi" w:cstheme="majorHAnsi"/>
                <w:spacing w:val="-2"/>
                <w:szCs w:val="18"/>
                <w:lang w:val="en-US"/>
              </w:rPr>
              <w:t xml:space="preserve">incurred </w:t>
            </w:r>
            <w:r w:rsidR="005E2BCF">
              <w:rPr>
                <w:rFonts w:asciiTheme="majorHAnsi" w:hAnsiTheme="majorHAnsi" w:cstheme="majorHAnsi"/>
                <w:spacing w:val="-2"/>
                <w:szCs w:val="18"/>
                <w:lang w:val="en-US"/>
              </w:rPr>
              <w:t xml:space="preserve">with total </w:t>
            </w:r>
            <w:r w:rsidR="000C7BC7">
              <w:rPr>
                <w:rFonts w:asciiTheme="majorHAnsi" w:hAnsiTheme="majorHAnsi" w:cstheme="majorHAnsi"/>
                <w:spacing w:val="-2"/>
                <w:szCs w:val="18"/>
                <w:lang w:val="en-US"/>
              </w:rPr>
              <w:t>costs</w:t>
            </w:r>
            <w:r w:rsidR="00CF4A43">
              <w:rPr>
                <w:rFonts w:asciiTheme="majorHAnsi" w:hAnsiTheme="majorHAnsi" w:cstheme="majorHAnsi"/>
                <w:spacing w:val="-2"/>
                <w:szCs w:val="18"/>
                <w:lang w:val="en-US"/>
              </w:rPr>
              <w:t xml:space="preserve"> budget</w:t>
            </w:r>
            <w:r w:rsidR="000C7BC7">
              <w:rPr>
                <w:rFonts w:asciiTheme="majorHAnsi" w:hAnsiTheme="majorHAnsi" w:cstheme="majorHAnsi"/>
                <w:spacing w:val="-2"/>
                <w:szCs w:val="18"/>
                <w:lang w:val="en-US"/>
              </w:rPr>
              <w:t xml:space="preserve"> </w:t>
            </w:r>
            <w:r w:rsidR="005E2BCF">
              <w:rPr>
                <w:rFonts w:asciiTheme="majorHAnsi" w:hAnsiTheme="majorHAnsi" w:cstheme="majorHAnsi"/>
                <w:spacing w:val="-2"/>
                <w:szCs w:val="18"/>
                <w:lang w:val="en-US"/>
              </w:rPr>
              <w:t>estimat</w:t>
            </w:r>
            <w:r w:rsidR="000C7BC7">
              <w:rPr>
                <w:rFonts w:asciiTheme="majorHAnsi" w:hAnsiTheme="majorHAnsi" w:cstheme="majorHAnsi"/>
                <w:spacing w:val="-2"/>
                <w:szCs w:val="18"/>
                <w:lang w:val="en-US"/>
              </w:rPr>
              <w:t>ion</w:t>
            </w:r>
            <w:r w:rsidR="00C84A83">
              <w:rPr>
                <w:rFonts w:asciiTheme="majorHAnsi" w:hAnsiTheme="majorHAnsi" w:cstheme="majorHAnsi"/>
                <w:spacing w:val="-2"/>
                <w:szCs w:val="18"/>
                <w:lang w:val="en-US"/>
              </w:rPr>
              <w:t xml:space="preserve"> until the</w:t>
            </w:r>
            <w:r w:rsidR="00417890">
              <w:rPr>
                <w:rFonts w:asciiTheme="majorHAnsi" w:hAnsiTheme="majorHAnsi" w:cstheme="majorHAnsi"/>
                <w:spacing w:val="-2"/>
                <w:szCs w:val="18"/>
                <w:lang w:val="en-US"/>
              </w:rPr>
              <w:t xml:space="preserve"> complet</w:t>
            </w:r>
            <w:r w:rsidR="00995303">
              <w:rPr>
                <w:rFonts w:asciiTheme="majorHAnsi" w:hAnsiTheme="majorHAnsi" w:cstheme="majorHAnsi"/>
                <w:spacing w:val="-2"/>
                <w:szCs w:val="18"/>
                <w:lang w:val="en-US"/>
              </w:rPr>
              <w:t>ion of the project</w:t>
            </w:r>
            <w:r w:rsidR="00417890">
              <w:rPr>
                <w:rFonts w:asciiTheme="majorHAnsi" w:hAnsiTheme="majorHAnsi" w:cstheme="majorHAnsi"/>
                <w:spacing w:val="-2"/>
                <w:szCs w:val="18"/>
                <w:lang w:val="en-US"/>
              </w:rPr>
              <w:t xml:space="preserve">. </w:t>
            </w:r>
            <w:r w:rsidR="00A31425">
              <w:rPr>
                <w:rFonts w:asciiTheme="majorHAnsi" w:hAnsiTheme="majorHAnsi" w:cstheme="majorHAnsi"/>
                <w:spacing w:val="-2"/>
                <w:szCs w:val="18"/>
                <w:lang w:val="en-US"/>
              </w:rPr>
              <w:t>The estimation of co</w:t>
            </w:r>
            <w:r w:rsidR="004403EC">
              <w:rPr>
                <w:rFonts w:asciiTheme="majorHAnsi" w:hAnsiTheme="majorHAnsi" w:cstheme="majorHAnsi"/>
                <w:spacing w:val="-2"/>
                <w:szCs w:val="18"/>
                <w:lang w:val="en-US"/>
              </w:rPr>
              <w:t xml:space="preserve">sts </w:t>
            </w:r>
            <w:r w:rsidR="00247FF6">
              <w:rPr>
                <w:rFonts w:asciiTheme="majorHAnsi" w:hAnsiTheme="majorHAnsi" w:cstheme="majorHAnsi"/>
                <w:spacing w:val="-2"/>
                <w:szCs w:val="18"/>
                <w:lang w:val="en-US"/>
              </w:rPr>
              <w:t>budget</w:t>
            </w:r>
            <w:r w:rsidR="005D4EE0">
              <w:rPr>
                <w:rFonts w:asciiTheme="majorHAnsi" w:hAnsiTheme="majorHAnsi" w:cstheme="majorHAnsi"/>
                <w:spacing w:val="-2"/>
                <w:szCs w:val="18"/>
                <w:lang w:val="en-US"/>
              </w:rPr>
              <w:t>, including</w:t>
            </w:r>
            <w:r w:rsidR="00BF3800">
              <w:rPr>
                <w:rFonts w:asciiTheme="majorHAnsi" w:hAnsiTheme="majorHAnsi" w:cstheme="majorHAnsi"/>
                <w:spacing w:val="-2"/>
                <w:szCs w:val="18"/>
                <w:lang w:val="en-US"/>
              </w:rPr>
              <w:t xml:space="preserve"> the provision</w:t>
            </w:r>
            <w:r w:rsidR="00E96633">
              <w:rPr>
                <w:rFonts w:asciiTheme="majorHAnsi" w:hAnsiTheme="majorHAnsi" w:cstheme="majorHAnsi"/>
                <w:spacing w:val="-2"/>
                <w:szCs w:val="18"/>
                <w:lang w:val="en-US"/>
              </w:rPr>
              <w:t xml:space="preserve"> for </w:t>
            </w:r>
            <w:r w:rsidR="00BF3800">
              <w:rPr>
                <w:rFonts w:asciiTheme="majorHAnsi" w:hAnsiTheme="majorHAnsi" w:cstheme="majorHAnsi"/>
                <w:spacing w:val="-2"/>
                <w:szCs w:val="18"/>
                <w:lang w:val="en-US"/>
              </w:rPr>
              <w:t xml:space="preserve">loss on </w:t>
            </w:r>
            <w:r w:rsidR="00EE7428">
              <w:rPr>
                <w:rFonts w:asciiTheme="majorHAnsi" w:hAnsiTheme="majorHAnsi" w:cstheme="majorHAnsi"/>
                <w:spacing w:val="-2"/>
                <w:szCs w:val="18"/>
                <w:lang w:val="en-US"/>
              </w:rPr>
              <w:t>construction project</w:t>
            </w:r>
            <w:r w:rsidR="0061084B">
              <w:rPr>
                <w:rFonts w:asciiTheme="majorHAnsi" w:hAnsiTheme="majorHAnsi" w:cstheme="majorHAnsi"/>
                <w:spacing w:val="-2"/>
                <w:szCs w:val="18"/>
                <w:lang w:val="en-US"/>
              </w:rPr>
              <w:t>,</w:t>
            </w:r>
            <w:r w:rsidR="00EE7428">
              <w:rPr>
                <w:rFonts w:asciiTheme="majorHAnsi" w:hAnsiTheme="majorHAnsi" w:cstheme="majorHAnsi"/>
                <w:spacing w:val="-2"/>
                <w:szCs w:val="18"/>
                <w:lang w:val="en-US"/>
              </w:rPr>
              <w:t xml:space="preserve"> </w:t>
            </w:r>
            <w:r w:rsidR="00375323">
              <w:rPr>
                <w:rFonts w:asciiTheme="majorHAnsi" w:hAnsiTheme="majorHAnsi" w:cstheme="majorHAnsi"/>
                <w:spacing w:val="-2"/>
                <w:szCs w:val="18"/>
                <w:lang w:val="en-US"/>
              </w:rPr>
              <w:t xml:space="preserve">requires significant </w:t>
            </w:r>
            <w:r w:rsidR="00B36576">
              <w:rPr>
                <w:rFonts w:asciiTheme="majorHAnsi" w:hAnsiTheme="majorHAnsi" w:cstheme="majorHAnsi"/>
                <w:spacing w:val="-2"/>
                <w:szCs w:val="18"/>
                <w:lang w:val="en-US"/>
              </w:rPr>
              <w:t>judgment</w:t>
            </w:r>
            <w:r w:rsidR="00B46607">
              <w:rPr>
                <w:rFonts w:asciiTheme="majorHAnsi" w:hAnsiTheme="majorHAnsi" w:cstheme="majorHAnsi"/>
                <w:spacing w:val="-2"/>
                <w:szCs w:val="18"/>
                <w:lang w:val="en-US"/>
              </w:rPr>
              <w:t xml:space="preserve"> of the management </w:t>
            </w:r>
            <w:r w:rsidR="00BB2E3E">
              <w:rPr>
                <w:rFonts w:asciiTheme="majorHAnsi" w:hAnsiTheme="majorHAnsi" w:cstheme="majorHAnsi"/>
                <w:spacing w:val="-2"/>
                <w:szCs w:val="18"/>
                <w:lang w:val="en-US"/>
              </w:rPr>
              <w:t xml:space="preserve">which </w:t>
            </w:r>
            <w:r w:rsidR="00B25B42">
              <w:rPr>
                <w:rFonts w:asciiTheme="majorHAnsi" w:hAnsiTheme="majorHAnsi" w:cstheme="majorHAnsi"/>
                <w:spacing w:val="-2"/>
                <w:szCs w:val="18"/>
                <w:lang w:val="en-US"/>
              </w:rPr>
              <w:t>continu</w:t>
            </w:r>
            <w:r w:rsidR="00787363">
              <w:rPr>
                <w:rFonts w:asciiTheme="majorHAnsi" w:hAnsiTheme="majorHAnsi" w:cstheme="majorHAnsi"/>
                <w:spacing w:val="-2"/>
                <w:szCs w:val="18"/>
                <w:lang w:val="en-US"/>
              </w:rPr>
              <w:t>ous</w:t>
            </w:r>
            <w:r w:rsidR="00BB2E3E">
              <w:rPr>
                <w:rFonts w:asciiTheme="majorHAnsi" w:hAnsiTheme="majorHAnsi" w:cstheme="majorHAnsi"/>
                <w:spacing w:val="-2"/>
                <w:szCs w:val="18"/>
                <w:lang w:val="en-US"/>
              </w:rPr>
              <w:t xml:space="preserve"> review</w:t>
            </w:r>
            <w:r w:rsidR="00C40364">
              <w:rPr>
                <w:rFonts w:asciiTheme="majorHAnsi" w:hAnsiTheme="majorHAnsi" w:cstheme="majorHAnsi"/>
                <w:spacing w:val="-2"/>
                <w:szCs w:val="18"/>
                <w:lang w:val="en-US"/>
              </w:rPr>
              <w:t>ed</w:t>
            </w:r>
            <w:r w:rsidR="00BB2E3E">
              <w:rPr>
                <w:rFonts w:asciiTheme="majorHAnsi" w:hAnsiTheme="majorHAnsi" w:cstheme="majorHAnsi"/>
                <w:spacing w:val="-2"/>
                <w:szCs w:val="18"/>
                <w:lang w:val="en-US"/>
              </w:rPr>
              <w:t xml:space="preserve"> throughout the </w:t>
            </w:r>
            <w:r w:rsidR="003A05C3">
              <w:rPr>
                <w:rFonts w:asciiTheme="majorHAnsi" w:hAnsiTheme="majorHAnsi" w:cstheme="majorHAnsi"/>
                <w:spacing w:val="-2"/>
                <w:szCs w:val="18"/>
                <w:lang w:val="en-US"/>
              </w:rPr>
              <w:t xml:space="preserve">construction </w:t>
            </w:r>
            <w:r w:rsidR="00BB2E3E">
              <w:rPr>
                <w:rFonts w:asciiTheme="majorHAnsi" w:hAnsiTheme="majorHAnsi" w:cstheme="majorHAnsi"/>
                <w:spacing w:val="-2"/>
                <w:szCs w:val="18"/>
                <w:lang w:val="en-US"/>
              </w:rPr>
              <w:t>period</w:t>
            </w:r>
            <w:r w:rsidR="003A05C3">
              <w:rPr>
                <w:rFonts w:asciiTheme="majorHAnsi" w:hAnsiTheme="majorHAnsi" w:cstheme="majorHAnsi"/>
                <w:spacing w:val="-2"/>
                <w:szCs w:val="18"/>
                <w:lang w:val="en-US"/>
              </w:rPr>
              <w:t xml:space="preserve">s </w:t>
            </w:r>
            <w:r w:rsidR="007F1AA2">
              <w:rPr>
                <w:rFonts w:asciiTheme="majorHAnsi" w:hAnsiTheme="majorHAnsi" w:cstheme="majorHAnsi"/>
                <w:spacing w:val="-2"/>
                <w:szCs w:val="18"/>
                <w:lang w:val="en-US"/>
              </w:rPr>
              <w:t>and</w:t>
            </w:r>
            <w:r w:rsidR="00787363">
              <w:rPr>
                <w:rFonts w:asciiTheme="majorHAnsi" w:hAnsiTheme="majorHAnsi" w:cstheme="majorHAnsi"/>
                <w:spacing w:val="-2"/>
                <w:szCs w:val="18"/>
                <w:lang w:val="en-US"/>
              </w:rPr>
              <w:t xml:space="preserve"> the estimates need to be</w:t>
            </w:r>
            <w:r w:rsidR="007F1AA2">
              <w:rPr>
                <w:rFonts w:asciiTheme="majorHAnsi" w:hAnsiTheme="majorHAnsi" w:cstheme="majorHAnsi"/>
                <w:spacing w:val="-2"/>
                <w:szCs w:val="18"/>
                <w:lang w:val="en-US"/>
              </w:rPr>
              <w:t xml:space="preserve"> </w:t>
            </w:r>
            <w:proofErr w:type="gramStart"/>
            <w:r w:rsidR="00821F95">
              <w:rPr>
                <w:rFonts w:asciiTheme="majorHAnsi" w:hAnsiTheme="majorHAnsi" w:cstheme="majorHAnsi"/>
                <w:spacing w:val="-2"/>
                <w:szCs w:val="18"/>
                <w:lang w:val="en-US"/>
              </w:rPr>
              <w:t>adjust</w:t>
            </w:r>
            <w:r w:rsidR="00787363">
              <w:rPr>
                <w:rFonts w:asciiTheme="majorHAnsi" w:hAnsiTheme="majorHAnsi" w:cstheme="majorHAnsi"/>
                <w:spacing w:val="-2"/>
                <w:szCs w:val="18"/>
                <w:lang w:val="en-US"/>
              </w:rPr>
              <w:t>ed</w:t>
            </w:r>
            <w:proofErr w:type="gramEnd"/>
            <w:r w:rsidR="00821F95">
              <w:rPr>
                <w:rFonts w:asciiTheme="majorHAnsi" w:hAnsiTheme="majorHAnsi" w:cstheme="majorHAnsi"/>
                <w:spacing w:val="-2"/>
                <w:szCs w:val="18"/>
                <w:lang w:val="en-US"/>
              </w:rPr>
              <w:t xml:space="preserve"> </w:t>
            </w:r>
            <w:r w:rsidR="00787363">
              <w:rPr>
                <w:rFonts w:asciiTheme="majorHAnsi" w:hAnsiTheme="majorHAnsi" w:cstheme="majorHAnsi"/>
                <w:spacing w:val="-2"/>
                <w:szCs w:val="18"/>
                <w:lang w:val="en-US"/>
              </w:rPr>
              <w:t xml:space="preserve">as </w:t>
            </w:r>
            <w:r w:rsidR="00821F95">
              <w:rPr>
                <w:rFonts w:asciiTheme="majorHAnsi" w:hAnsiTheme="majorHAnsi" w:cstheme="majorHAnsi"/>
                <w:spacing w:val="-2"/>
                <w:szCs w:val="18"/>
                <w:lang w:val="en-US"/>
              </w:rPr>
              <w:t xml:space="preserve">necessary. In addition, </w:t>
            </w:r>
            <w:r w:rsidR="00A0690B">
              <w:rPr>
                <w:rFonts w:asciiTheme="majorHAnsi" w:hAnsiTheme="majorHAnsi" w:cstheme="majorHAnsi"/>
                <w:spacing w:val="-2"/>
                <w:szCs w:val="18"/>
                <w:lang w:val="en-US"/>
              </w:rPr>
              <w:t xml:space="preserve">the </w:t>
            </w:r>
            <w:r w:rsidR="00AA311B">
              <w:rPr>
                <w:rFonts w:asciiTheme="majorHAnsi" w:hAnsiTheme="majorHAnsi" w:cstheme="majorHAnsi"/>
                <w:spacing w:val="-2"/>
                <w:szCs w:val="18"/>
                <w:lang w:val="en-US"/>
              </w:rPr>
              <w:t xml:space="preserve">revenues from </w:t>
            </w:r>
            <w:r w:rsidR="00D0538C">
              <w:rPr>
                <w:rFonts w:asciiTheme="majorHAnsi" w:hAnsiTheme="majorHAnsi" w:cstheme="majorHAnsi"/>
                <w:spacing w:val="-2"/>
                <w:szCs w:val="18"/>
                <w:lang w:val="en-US"/>
              </w:rPr>
              <w:t>contract</w:t>
            </w:r>
            <w:r w:rsidR="00A0690B">
              <w:rPr>
                <w:rFonts w:asciiTheme="majorHAnsi" w:hAnsiTheme="majorHAnsi" w:cstheme="majorHAnsi"/>
                <w:spacing w:val="-2"/>
                <w:szCs w:val="18"/>
                <w:lang w:val="en-US"/>
              </w:rPr>
              <w:t xml:space="preserve"> modi</w:t>
            </w:r>
            <w:r w:rsidR="008D64CA">
              <w:rPr>
                <w:rFonts w:asciiTheme="majorHAnsi" w:hAnsiTheme="majorHAnsi" w:cstheme="majorHAnsi"/>
                <w:spacing w:val="-2"/>
                <w:szCs w:val="18"/>
                <w:lang w:val="en-US"/>
              </w:rPr>
              <w:t>fication</w:t>
            </w:r>
            <w:r w:rsidR="00F01469">
              <w:rPr>
                <w:rFonts w:asciiTheme="majorHAnsi" w:hAnsiTheme="majorHAnsi" w:cstheme="majorHAnsi"/>
                <w:spacing w:val="-2"/>
                <w:szCs w:val="18"/>
                <w:lang w:val="en-US"/>
              </w:rPr>
              <w:t xml:space="preserve"> which </w:t>
            </w:r>
            <w:r w:rsidR="00F0398C">
              <w:rPr>
                <w:rFonts w:asciiTheme="majorHAnsi" w:hAnsiTheme="majorHAnsi" w:cstheme="majorHAnsi"/>
                <w:spacing w:val="-2"/>
                <w:szCs w:val="18"/>
                <w:lang w:val="en-US"/>
              </w:rPr>
              <w:t xml:space="preserve">have </w:t>
            </w:r>
            <w:r w:rsidR="00F01469">
              <w:rPr>
                <w:rFonts w:asciiTheme="majorHAnsi" w:hAnsiTheme="majorHAnsi" w:cstheme="majorHAnsi"/>
                <w:spacing w:val="-2"/>
                <w:szCs w:val="18"/>
                <w:lang w:val="en-US"/>
              </w:rPr>
              <w:t>not</w:t>
            </w:r>
            <w:r w:rsidR="00F0398C">
              <w:rPr>
                <w:rFonts w:asciiTheme="majorHAnsi" w:hAnsiTheme="majorHAnsi" w:cstheme="majorHAnsi"/>
                <w:spacing w:val="-2"/>
                <w:szCs w:val="18"/>
                <w:lang w:val="en-US"/>
              </w:rPr>
              <w:t xml:space="preserve"> yet</w:t>
            </w:r>
            <w:r w:rsidR="00F01469">
              <w:rPr>
                <w:rFonts w:asciiTheme="majorHAnsi" w:hAnsiTheme="majorHAnsi" w:cstheme="majorHAnsi"/>
                <w:spacing w:val="-2"/>
                <w:szCs w:val="18"/>
                <w:lang w:val="en-US"/>
              </w:rPr>
              <w:t xml:space="preserve"> </w:t>
            </w:r>
            <w:r w:rsidR="0065434B">
              <w:rPr>
                <w:rFonts w:asciiTheme="majorHAnsi" w:hAnsiTheme="majorHAnsi" w:cstheme="majorHAnsi"/>
                <w:spacing w:val="-2"/>
                <w:szCs w:val="18"/>
                <w:lang w:val="en-US"/>
              </w:rPr>
              <w:t xml:space="preserve">been </w:t>
            </w:r>
            <w:r w:rsidR="00F01469">
              <w:rPr>
                <w:rFonts w:asciiTheme="majorHAnsi" w:hAnsiTheme="majorHAnsi" w:cstheme="majorHAnsi"/>
                <w:spacing w:val="-2"/>
                <w:szCs w:val="18"/>
                <w:lang w:val="en-US"/>
              </w:rPr>
              <w:t>determine</w:t>
            </w:r>
            <w:r w:rsidR="00F0398C">
              <w:rPr>
                <w:rFonts w:asciiTheme="majorHAnsi" w:hAnsiTheme="majorHAnsi" w:cstheme="majorHAnsi"/>
                <w:spacing w:val="-2"/>
                <w:szCs w:val="18"/>
                <w:lang w:val="en-US"/>
              </w:rPr>
              <w:t xml:space="preserve">d </w:t>
            </w:r>
            <w:r w:rsidR="00AB1044">
              <w:rPr>
                <w:rFonts w:asciiTheme="majorHAnsi" w:hAnsiTheme="majorHAnsi" w:cstheme="majorHAnsi"/>
                <w:spacing w:val="-2"/>
                <w:szCs w:val="18"/>
                <w:lang w:val="en-US"/>
              </w:rPr>
              <w:t xml:space="preserve">for </w:t>
            </w:r>
            <w:r w:rsidR="00F0398C">
              <w:rPr>
                <w:rFonts w:asciiTheme="majorHAnsi" w:hAnsiTheme="majorHAnsi" w:cstheme="majorHAnsi"/>
                <w:spacing w:val="-2"/>
                <w:szCs w:val="18"/>
                <w:lang w:val="en-US"/>
              </w:rPr>
              <w:t>the</w:t>
            </w:r>
            <w:r w:rsidR="00FB6B03">
              <w:rPr>
                <w:rFonts w:asciiTheme="majorHAnsi" w:hAnsiTheme="majorHAnsi" w:cstheme="majorHAnsi"/>
                <w:spacing w:val="-2"/>
                <w:szCs w:val="18"/>
                <w:lang w:val="en-US"/>
              </w:rPr>
              <w:t xml:space="preserve"> corresponding change in price</w:t>
            </w:r>
            <w:r w:rsidR="004F1648">
              <w:rPr>
                <w:rFonts w:asciiTheme="majorHAnsi" w:hAnsiTheme="majorHAnsi" w:cstheme="majorHAnsi"/>
                <w:spacing w:val="-2"/>
                <w:szCs w:val="18"/>
                <w:lang w:val="en-US"/>
              </w:rPr>
              <w:t xml:space="preserve"> </w:t>
            </w:r>
            <w:r w:rsidR="0005294D">
              <w:rPr>
                <w:rFonts w:asciiTheme="majorHAnsi" w:hAnsiTheme="majorHAnsi" w:cstheme="majorHAnsi"/>
                <w:spacing w:val="-2"/>
                <w:szCs w:val="18"/>
                <w:lang w:val="en-US"/>
              </w:rPr>
              <w:t xml:space="preserve">requires significant </w:t>
            </w:r>
            <w:r w:rsidR="00B36576">
              <w:rPr>
                <w:rFonts w:asciiTheme="majorHAnsi" w:hAnsiTheme="majorHAnsi" w:cstheme="majorHAnsi"/>
                <w:spacing w:val="-2"/>
                <w:szCs w:val="18"/>
                <w:lang w:val="en-US"/>
              </w:rPr>
              <w:t>judgment</w:t>
            </w:r>
            <w:r w:rsidR="001B2EEB">
              <w:rPr>
                <w:rFonts w:asciiTheme="majorHAnsi" w:hAnsiTheme="majorHAnsi" w:cstheme="majorHAnsi"/>
                <w:spacing w:val="-2"/>
                <w:szCs w:val="18"/>
                <w:lang w:val="en-US"/>
              </w:rPr>
              <w:t xml:space="preserve"> of the management </w:t>
            </w:r>
            <w:r w:rsidR="009F598B">
              <w:rPr>
                <w:rFonts w:asciiTheme="majorHAnsi" w:hAnsiTheme="majorHAnsi" w:cstheme="majorHAnsi"/>
                <w:spacing w:val="-2"/>
                <w:szCs w:val="18"/>
                <w:lang w:val="en-US"/>
              </w:rPr>
              <w:t xml:space="preserve">to </w:t>
            </w:r>
            <w:r w:rsidR="00AF20E6">
              <w:rPr>
                <w:rFonts w:asciiTheme="majorHAnsi" w:hAnsiTheme="majorHAnsi" w:cstheme="majorHAnsi"/>
                <w:spacing w:val="-2"/>
                <w:szCs w:val="18"/>
                <w:lang w:val="en-US"/>
              </w:rPr>
              <w:t>assess</w:t>
            </w:r>
            <w:r w:rsidR="009B7AE6">
              <w:rPr>
                <w:rFonts w:asciiTheme="majorHAnsi" w:hAnsiTheme="majorHAnsi" w:cstheme="majorHAnsi"/>
                <w:spacing w:val="-2"/>
                <w:szCs w:val="18"/>
                <w:lang w:val="en-US"/>
              </w:rPr>
              <w:t xml:space="preserve"> the probable </w:t>
            </w:r>
            <w:r w:rsidR="006A7EEA">
              <w:rPr>
                <w:rFonts w:asciiTheme="majorHAnsi" w:hAnsiTheme="majorHAnsi" w:cstheme="majorHAnsi"/>
                <w:spacing w:val="-2"/>
                <w:szCs w:val="18"/>
                <w:lang w:val="en-US"/>
              </w:rPr>
              <w:t>of the Group will be entitled</w:t>
            </w:r>
            <w:r w:rsidR="00054520">
              <w:rPr>
                <w:rFonts w:asciiTheme="majorHAnsi" w:hAnsiTheme="majorHAnsi" w:cstheme="majorHAnsi"/>
                <w:spacing w:val="-2"/>
                <w:szCs w:val="18"/>
                <w:lang w:val="en-US"/>
              </w:rPr>
              <w:t xml:space="preserve"> of</w:t>
            </w:r>
            <w:r w:rsidR="006A7EEA">
              <w:rPr>
                <w:rFonts w:asciiTheme="majorHAnsi" w:hAnsiTheme="majorHAnsi" w:cstheme="majorHAnsi"/>
                <w:spacing w:val="-2"/>
                <w:szCs w:val="18"/>
                <w:lang w:val="en-US"/>
              </w:rPr>
              <w:t xml:space="preserve"> </w:t>
            </w:r>
            <w:r w:rsidR="00DF7B5C">
              <w:rPr>
                <w:rFonts w:asciiTheme="majorHAnsi" w:hAnsiTheme="majorHAnsi" w:cstheme="majorHAnsi"/>
                <w:spacing w:val="-2"/>
                <w:szCs w:val="18"/>
                <w:lang w:val="en-US"/>
              </w:rPr>
              <w:t>the conside</w:t>
            </w:r>
            <w:r w:rsidR="00054520">
              <w:rPr>
                <w:rFonts w:asciiTheme="majorHAnsi" w:hAnsiTheme="majorHAnsi" w:cstheme="majorHAnsi"/>
                <w:spacing w:val="-2"/>
                <w:szCs w:val="18"/>
                <w:lang w:val="en-US"/>
              </w:rPr>
              <w:t xml:space="preserve">ration amount and </w:t>
            </w:r>
            <w:r w:rsidR="009F598B">
              <w:rPr>
                <w:rFonts w:asciiTheme="majorHAnsi" w:hAnsiTheme="majorHAnsi" w:cstheme="majorHAnsi"/>
                <w:spacing w:val="-2"/>
                <w:szCs w:val="18"/>
                <w:lang w:val="en-US"/>
              </w:rPr>
              <w:t>estimate</w:t>
            </w:r>
            <w:r w:rsidR="00F5697C">
              <w:rPr>
                <w:rFonts w:asciiTheme="majorHAnsi" w:hAnsiTheme="majorHAnsi" w:cstheme="majorHAnsi"/>
                <w:spacing w:val="-2"/>
                <w:szCs w:val="18"/>
                <w:lang w:val="en-US"/>
              </w:rPr>
              <w:t>s</w:t>
            </w:r>
            <w:r w:rsidR="001A5AEF">
              <w:rPr>
                <w:rFonts w:asciiTheme="majorHAnsi" w:hAnsiTheme="majorHAnsi" w:cstheme="majorHAnsi"/>
                <w:spacing w:val="-2"/>
                <w:szCs w:val="18"/>
                <w:lang w:val="en-US"/>
              </w:rPr>
              <w:t xml:space="preserve"> </w:t>
            </w:r>
            <w:r w:rsidR="00DB39DF">
              <w:rPr>
                <w:rFonts w:asciiTheme="majorHAnsi" w:hAnsiTheme="majorHAnsi" w:cstheme="majorHAnsi"/>
                <w:spacing w:val="-2"/>
                <w:szCs w:val="18"/>
                <w:lang w:val="en-US"/>
              </w:rPr>
              <w:t>the change to transaction price</w:t>
            </w:r>
            <w:r w:rsidR="00080000">
              <w:rPr>
                <w:rFonts w:asciiTheme="majorHAnsi" w:hAnsiTheme="majorHAnsi" w:cstheme="majorHAnsi"/>
                <w:spacing w:val="-2"/>
                <w:szCs w:val="18"/>
                <w:lang w:val="en-US"/>
              </w:rPr>
              <w:t>s</w:t>
            </w:r>
            <w:r w:rsidR="00DB39DF">
              <w:rPr>
                <w:rFonts w:asciiTheme="majorHAnsi" w:hAnsiTheme="majorHAnsi" w:cstheme="majorHAnsi"/>
                <w:spacing w:val="-2"/>
                <w:szCs w:val="18"/>
                <w:lang w:val="en-US"/>
              </w:rPr>
              <w:t xml:space="preserve"> </w:t>
            </w:r>
            <w:r w:rsidR="001A5AEF">
              <w:rPr>
                <w:rFonts w:asciiTheme="majorHAnsi" w:hAnsiTheme="majorHAnsi" w:cstheme="majorHAnsi"/>
                <w:spacing w:val="-2"/>
                <w:szCs w:val="18"/>
                <w:lang w:val="en-US"/>
              </w:rPr>
              <w:t>an</w:t>
            </w:r>
            <w:r w:rsidR="004342DD">
              <w:rPr>
                <w:rFonts w:asciiTheme="majorHAnsi" w:hAnsiTheme="majorHAnsi" w:cstheme="majorHAnsi"/>
                <w:spacing w:val="-2"/>
                <w:szCs w:val="18"/>
                <w:lang w:val="en-US"/>
              </w:rPr>
              <w:t>d</w:t>
            </w:r>
            <w:r w:rsidR="001A5AEF">
              <w:rPr>
                <w:rFonts w:asciiTheme="majorHAnsi" w:hAnsiTheme="majorHAnsi" w:cstheme="majorHAnsi"/>
                <w:spacing w:val="-2"/>
                <w:szCs w:val="18"/>
                <w:lang w:val="en-US"/>
              </w:rPr>
              <w:t xml:space="preserve"> amount</w:t>
            </w:r>
            <w:r w:rsidR="00080000">
              <w:rPr>
                <w:rFonts w:asciiTheme="majorHAnsi" w:hAnsiTheme="majorHAnsi" w:cstheme="majorHAnsi"/>
                <w:spacing w:val="-2"/>
                <w:szCs w:val="18"/>
                <w:lang w:val="en-US"/>
              </w:rPr>
              <w:t>s</w:t>
            </w:r>
            <w:r w:rsidR="003E022E">
              <w:rPr>
                <w:rFonts w:asciiTheme="majorHAnsi" w:hAnsiTheme="majorHAnsi" w:cstheme="majorHAnsi"/>
                <w:spacing w:val="-2"/>
                <w:szCs w:val="18"/>
                <w:lang w:val="en-US"/>
              </w:rPr>
              <w:t xml:space="preserve"> </w:t>
            </w:r>
            <w:r w:rsidR="00D70D0C">
              <w:rPr>
                <w:rFonts w:asciiTheme="majorHAnsi" w:hAnsiTheme="majorHAnsi" w:cstheme="majorHAnsi"/>
                <w:spacing w:val="-2"/>
                <w:szCs w:val="18"/>
                <w:lang w:val="en-US"/>
              </w:rPr>
              <w:t>which the Group</w:t>
            </w:r>
            <w:r w:rsidR="002C3DCF">
              <w:rPr>
                <w:rFonts w:asciiTheme="majorHAnsi" w:hAnsiTheme="majorHAnsi" w:cstheme="majorHAnsi"/>
                <w:spacing w:val="-2"/>
                <w:szCs w:val="18"/>
                <w:lang w:val="en-US"/>
              </w:rPr>
              <w:t xml:space="preserve"> </w:t>
            </w:r>
            <w:r w:rsidR="00C1177D">
              <w:rPr>
                <w:rFonts w:asciiTheme="majorHAnsi" w:hAnsiTheme="majorHAnsi" w:cstheme="majorHAnsi"/>
                <w:spacing w:val="-2"/>
                <w:szCs w:val="18"/>
                <w:lang w:val="en-US"/>
              </w:rPr>
              <w:t xml:space="preserve">will be entitled </w:t>
            </w:r>
            <w:r w:rsidR="00336D90">
              <w:rPr>
                <w:rFonts w:asciiTheme="majorHAnsi" w:hAnsiTheme="majorHAnsi" w:cstheme="majorHAnsi"/>
                <w:spacing w:val="-2"/>
                <w:szCs w:val="18"/>
                <w:lang w:val="en-US"/>
              </w:rPr>
              <w:t>to receive.</w:t>
            </w:r>
          </w:p>
          <w:p w14:paraId="1E8D83B0" w14:textId="16F77D68" w:rsidR="00DE475E" w:rsidRDefault="00DE475E" w:rsidP="00B172BE">
            <w:pPr>
              <w:autoSpaceDE w:val="0"/>
              <w:autoSpaceDN w:val="0"/>
              <w:adjustRightInd w:val="0"/>
              <w:spacing w:line="360" w:lineRule="auto"/>
              <w:jc w:val="both"/>
              <w:rPr>
                <w:rFonts w:asciiTheme="majorHAnsi" w:hAnsiTheme="majorHAnsi" w:cstheme="majorHAnsi"/>
                <w:spacing w:val="-2"/>
                <w:sz w:val="12"/>
                <w:szCs w:val="12"/>
                <w:lang w:val="en-US"/>
              </w:rPr>
            </w:pPr>
          </w:p>
          <w:p w14:paraId="2F92BE8C" w14:textId="2BA4CA71" w:rsidR="00514B59" w:rsidRDefault="00514B59" w:rsidP="00B172BE">
            <w:pPr>
              <w:autoSpaceDE w:val="0"/>
              <w:autoSpaceDN w:val="0"/>
              <w:adjustRightInd w:val="0"/>
              <w:spacing w:line="360" w:lineRule="auto"/>
              <w:jc w:val="both"/>
              <w:rPr>
                <w:rFonts w:asciiTheme="majorHAnsi" w:hAnsiTheme="majorHAnsi" w:cstheme="majorHAnsi"/>
                <w:spacing w:val="-2"/>
                <w:sz w:val="12"/>
                <w:szCs w:val="12"/>
                <w:lang w:val="en-US"/>
              </w:rPr>
            </w:pPr>
          </w:p>
          <w:p w14:paraId="6BF712C3" w14:textId="0097A826" w:rsidR="00514B59" w:rsidRDefault="00514B59" w:rsidP="00B172BE">
            <w:pPr>
              <w:autoSpaceDE w:val="0"/>
              <w:autoSpaceDN w:val="0"/>
              <w:adjustRightInd w:val="0"/>
              <w:spacing w:line="360" w:lineRule="auto"/>
              <w:jc w:val="both"/>
              <w:rPr>
                <w:rFonts w:asciiTheme="majorHAnsi" w:hAnsiTheme="majorHAnsi" w:cstheme="majorHAnsi"/>
                <w:spacing w:val="-2"/>
                <w:sz w:val="12"/>
                <w:szCs w:val="12"/>
                <w:lang w:val="en-US"/>
              </w:rPr>
            </w:pPr>
          </w:p>
          <w:p w14:paraId="551A5D18" w14:textId="6F7250C3" w:rsidR="00514B59" w:rsidRDefault="00514B59" w:rsidP="00B172BE">
            <w:pPr>
              <w:autoSpaceDE w:val="0"/>
              <w:autoSpaceDN w:val="0"/>
              <w:adjustRightInd w:val="0"/>
              <w:spacing w:line="360" w:lineRule="auto"/>
              <w:jc w:val="both"/>
              <w:rPr>
                <w:rFonts w:asciiTheme="majorHAnsi" w:hAnsiTheme="majorHAnsi" w:cstheme="majorHAnsi"/>
                <w:spacing w:val="-2"/>
                <w:sz w:val="12"/>
                <w:szCs w:val="12"/>
                <w:lang w:val="en-US"/>
              </w:rPr>
            </w:pPr>
          </w:p>
          <w:p w14:paraId="0F91357D" w14:textId="77777777" w:rsidR="00514B59" w:rsidRPr="00AA5C51" w:rsidRDefault="00514B59" w:rsidP="00B172BE">
            <w:pPr>
              <w:autoSpaceDE w:val="0"/>
              <w:autoSpaceDN w:val="0"/>
              <w:adjustRightInd w:val="0"/>
              <w:spacing w:line="360" w:lineRule="auto"/>
              <w:jc w:val="both"/>
              <w:rPr>
                <w:rFonts w:asciiTheme="majorHAnsi" w:hAnsiTheme="majorHAnsi" w:cstheme="majorHAnsi"/>
                <w:spacing w:val="-2"/>
                <w:sz w:val="12"/>
                <w:szCs w:val="12"/>
                <w:lang w:val="en-US"/>
              </w:rPr>
            </w:pPr>
          </w:p>
          <w:p w14:paraId="76770466" w14:textId="4927FFCF" w:rsidR="00B172BE" w:rsidRDefault="009679A1" w:rsidP="00B172BE">
            <w:pPr>
              <w:autoSpaceDE w:val="0"/>
              <w:autoSpaceDN w:val="0"/>
              <w:adjustRightInd w:val="0"/>
              <w:spacing w:line="360" w:lineRule="auto"/>
              <w:jc w:val="both"/>
              <w:rPr>
                <w:rFonts w:asciiTheme="majorHAnsi" w:hAnsiTheme="majorHAnsi" w:cstheme="majorHAnsi"/>
                <w:spacing w:val="-2"/>
                <w:szCs w:val="18"/>
                <w:lang w:val="en-US"/>
              </w:rPr>
            </w:pPr>
            <w:r>
              <w:rPr>
                <w:rFonts w:asciiTheme="majorHAnsi" w:hAnsiTheme="majorHAnsi" w:cstheme="majorHAnsi"/>
                <w:spacing w:val="-2"/>
                <w:szCs w:val="18"/>
                <w:lang w:val="en-US"/>
              </w:rPr>
              <w:t>R</w:t>
            </w:r>
            <w:r w:rsidR="00EF1EAF" w:rsidRPr="007568DA">
              <w:rPr>
                <w:rFonts w:asciiTheme="majorHAnsi" w:hAnsiTheme="majorHAnsi" w:cstheme="majorHAnsi"/>
                <w:spacing w:val="-2"/>
                <w:szCs w:val="18"/>
                <w:lang w:val="en-US"/>
              </w:rPr>
              <w:t>evenues from construction services are material and have a significant impact to accounting transactions</w:t>
            </w:r>
            <w:r w:rsidR="0035128D">
              <w:rPr>
                <w:rFonts w:asciiTheme="majorHAnsi" w:hAnsiTheme="majorHAnsi" w:cstheme="majorHAnsi"/>
                <w:spacing w:val="-2"/>
                <w:szCs w:val="18"/>
                <w:lang w:val="en-US"/>
              </w:rPr>
              <w:t xml:space="preserve"> </w:t>
            </w:r>
            <w:r w:rsidR="00345214">
              <w:rPr>
                <w:rFonts w:asciiTheme="majorHAnsi" w:hAnsiTheme="majorHAnsi" w:cstheme="majorHAnsi"/>
                <w:spacing w:val="-2"/>
                <w:szCs w:val="18"/>
                <w:lang w:val="en-US"/>
              </w:rPr>
              <w:t xml:space="preserve">which </w:t>
            </w:r>
            <w:r w:rsidR="00122223">
              <w:rPr>
                <w:rFonts w:asciiTheme="majorHAnsi" w:hAnsiTheme="majorHAnsi" w:cstheme="majorHAnsi"/>
                <w:spacing w:val="-2"/>
                <w:szCs w:val="18"/>
                <w:lang w:val="en-US"/>
              </w:rPr>
              <w:t>are related to</w:t>
            </w:r>
            <w:r w:rsidR="001A3BA4">
              <w:rPr>
                <w:rFonts w:asciiTheme="majorHAnsi" w:hAnsiTheme="majorHAnsi" w:cstheme="majorHAnsi"/>
                <w:spacing w:val="-2"/>
                <w:szCs w:val="18"/>
                <w:lang w:val="en-US"/>
              </w:rPr>
              <w:t xml:space="preserve"> the construction contract</w:t>
            </w:r>
            <w:r w:rsidR="00AB21B8">
              <w:rPr>
                <w:rFonts w:asciiTheme="majorHAnsi" w:hAnsiTheme="majorHAnsi" w:cstheme="majorHAnsi"/>
                <w:spacing w:val="-2"/>
                <w:szCs w:val="18"/>
                <w:lang w:val="en-US"/>
              </w:rPr>
              <w:t>,</w:t>
            </w:r>
            <w:r w:rsidR="00EF1EAF" w:rsidRPr="007568DA">
              <w:rPr>
                <w:rFonts w:asciiTheme="majorHAnsi" w:hAnsiTheme="majorHAnsi" w:cstheme="majorHAnsi"/>
                <w:spacing w:val="-2"/>
                <w:szCs w:val="18"/>
                <w:lang w:val="en-US"/>
              </w:rPr>
              <w:t xml:space="preserve"> including earned revenues not yet billed, receipts </w:t>
            </w:r>
            <w:proofErr w:type="gramStart"/>
            <w:r w:rsidR="00EF1EAF" w:rsidRPr="007568DA">
              <w:rPr>
                <w:rFonts w:asciiTheme="majorHAnsi" w:hAnsiTheme="majorHAnsi" w:cstheme="majorHAnsi"/>
                <w:spacing w:val="-2"/>
                <w:szCs w:val="18"/>
                <w:lang w:val="en-US"/>
              </w:rPr>
              <w:t>in excess of</w:t>
            </w:r>
            <w:proofErr w:type="gramEnd"/>
            <w:r w:rsidR="00EF1EAF" w:rsidRPr="007568DA">
              <w:rPr>
                <w:rFonts w:asciiTheme="majorHAnsi" w:hAnsiTheme="majorHAnsi" w:cstheme="majorHAnsi"/>
                <w:spacing w:val="-2"/>
                <w:szCs w:val="18"/>
                <w:lang w:val="en-US"/>
              </w:rPr>
              <w:t xml:space="preserve"> contracted work in progress and costs of construction. </w:t>
            </w:r>
          </w:p>
          <w:p w14:paraId="0560ABD6" w14:textId="2F6A06C1" w:rsidR="00B172BE" w:rsidRPr="00B172BE" w:rsidRDefault="00BC720B" w:rsidP="00B172BE">
            <w:pPr>
              <w:autoSpaceDE w:val="0"/>
              <w:autoSpaceDN w:val="0"/>
              <w:adjustRightInd w:val="0"/>
              <w:spacing w:line="360" w:lineRule="auto"/>
              <w:jc w:val="both"/>
              <w:rPr>
                <w:rFonts w:asciiTheme="majorHAnsi" w:hAnsiTheme="majorHAnsi" w:cstheme="majorHAnsi"/>
                <w:spacing w:val="-2"/>
                <w:szCs w:val="18"/>
                <w:lang w:val="en-US"/>
              </w:rPr>
            </w:pPr>
            <w:r>
              <w:rPr>
                <w:rFonts w:asciiTheme="majorHAnsi" w:hAnsiTheme="majorHAnsi" w:cstheme="majorHAnsi"/>
                <w:spacing w:val="-2"/>
                <w:szCs w:val="18"/>
                <w:lang w:val="en-US"/>
              </w:rPr>
              <w:t>T</w:t>
            </w:r>
            <w:r w:rsidR="00EF1EAF" w:rsidRPr="007568DA">
              <w:rPr>
                <w:rFonts w:asciiTheme="majorHAnsi" w:hAnsiTheme="majorHAnsi" w:cstheme="majorHAnsi"/>
                <w:spacing w:val="-2"/>
                <w:szCs w:val="18"/>
                <w:lang w:val="en-US"/>
              </w:rPr>
              <w:t>he Group and the Company disclosed accounting policies</w:t>
            </w:r>
            <w:r w:rsidR="007D4406">
              <w:rPr>
                <w:rFonts w:asciiTheme="majorHAnsi" w:hAnsiTheme="majorHAnsi" w:cstheme="majorHAnsi"/>
                <w:spacing w:val="-2"/>
                <w:szCs w:val="18"/>
                <w:lang w:val="en-US"/>
              </w:rPr>
              <w:t xml:space="preserve"> </w:t>
            </w:r>
            <w:r w:rsidR="007B6332">
              <w:rPr>
                <w:rFonts w:asciiTheme="majorHAnsi" w:hAnsiTheme="majorHAnsi" w:cstheme="majorHAnsi"/>
                <w:spacing w:val="-2"/>
                <w:szCs w:val="18"/>
                <w:lang w:val="en-US"/>
              </w:rPr>
              <w:t>relat</w:t>
            </w:r>
            <w:r w:rsidR="008F78B2">
              <w:rPr>
                <w:rFonts w:asciiTheme="majorHAnsi" w:hAnsiTheme="majorHAnsi" w:cstheme="majorHAnsi"/>
                <w:spacing w:val="-2"/>
                <w:szCs w:val="18"/>
                <w:lang w:val="en-US"/>
              </w:rPr>
              <w:t>ing</w:t>
            </w:r>
            <w:r w:rsidR="007B6332">
              <w:rPr>
                <w:rFonts w:asciiTheme="majorHAnsi" w:hAnsiTheme="majorHAnsi" w:cstheme="majorHAnsi"/>
                <w:spacing w:val="-2"/>
                <w:szCs w:val="18"/>
                <w:lang w:val="en-US"/>
              </w:rPr>
              <w:t xml:space="preserve"> to</w:t>
            </w:r>
            <w:r w:rsidR="00EF1EAF" w:rsidRPr="007568DA">
              <w:rPr>
                <w:rFonts w:asciiTheme="majorHAnsi" w:hAnsiTheme="majorHAnsi" w:cstheme="majorHAnsi"/>
                <w:spacing w:val="-2"/>
                <w:szCs w:val="18"/>
                <w:lang w:val="en-US"/>
              </w:rPr>
              <w:t xml:space="preserve"> revenue recognition</w:t>
            </w:r>
            <w:r w:rsidR="00EB06DB">
              <w:rPr>
                <w:rFonts w:asciiTheme="majorHAnsi" w:hAnsiTheme="majorHAnsi" w:cstheme="majorHAnsi"/>
                <w:spacing w:val="-2"/>
                <w:szCs w:val="18"/>
                <w:lang w:val="en-US"/>
              </w:rPr>
              <w:t>,</w:t>
            </w:r>
            <w:r w:rsidR="00156F6A">
              <w:rPr>
                <w:rFonts w:asciiTheme="majorHAnsi" w:hAnsiTheme="majorHAnsi" w:cstheme="majorHAnsi"/>
                <w:spacing w:val="-2"/>
                <w:szCs w:val="18"/>
                <w:lang w:val="en-US"/>
              </w:rPr>
              <w:t xml:space="preserve"> </w:t>
            </w:r>
            <w:r w:rsidR="007D4406">
              <w:rPr>
                <w:rFonts w:asciiTheme="majorHAnsi" w:hAnsiTheme="majorHAnsi" w:cstheme="majorHAnsi"/>
                <w:spacing w:val="-2"/>
                <w:szCs w:val="18"/>
                <w:lang w:val="en-US"/>
              </w:rPr>
              <w:t>detail</w:t>
            </w:r>
            <w:r w:rsidR="00C10954">
              <w:rPr>
                <w:rFonts w:asciiTheme="majorHAnsi" w:hAnsiTheme="majorHAnsi" w:cstheme="majorHAnsi"/>
                <w:spacing w:val="-2"/>
                <w:szCs w:val="18"/>
                <w:lang w:val="en-US"/>
              </w:rPr>
              <w:t xml:space="preserve"> of</w:t>
            </w:r>
            <w:r w:rsidR="00171DA5">
              <w:rPr>
                <w:rFonts w:asciiTheme="majorHAnsi" w:hAnsiTheme="majorHAnsi" w:cstheme="majorHAnsi"/>
                <w:spacing w:val="-2"/>
                <w:szCs w:val="18"/>
                <w:lang w:val="en-US"/>
              </w:rPr>
              <w:t xml:space="preserve"> revenue</w:t>
            </w:r>
            <w:r w:rsidR="00EB06DB">
              <w:rPr>
                <w:rFonts w:asciiTheme="majorHAnsi" w:hAnsiTheme="majorHAnsi" w:cstheme="majorHAnsi"/>
                <w:spacing w:val="-2"/>
                <w:szCs w:val="18"/>
                <w:lang w:val="en-US"/>
              </w:rPr>
              <w:t>s</w:t>
            </w:r>
            <w:r w:rsidR="00171DA5">
              <w:rPr>
                <w:rFonts w:asciiTheme="majorHAnsi" w:hAnsiTheme="majorHAnsi" w:cstheme="majorHAnsi"/>
                <w:spacing w:val="-2"/>
                <w:szCs w:val="18"/>
                <w:lang w:val="en-US"/>
              </w:rPr>
              <w:t xml:space="preserve"> from</w:t>
            </w:r>
            <w:r w:rsidR="00EF1EAF" w:rsidRPr="007568DA">
              <w:rPr>
                <w:rFonts w:asciiTheme="majorHAnsi" w:hAnsiTheme="majorHAnsi" w:cstheme="majorHAnsi"/>
                <w:spacing w:val="-2"/>
                <w:szCs w:val="18"/>
                <w:lang w:val="en-US"/>
              </w:rPr>
              <w:t xml:space="preserve"> construction</w:t>
            </w:r>
            <w:r w:rsidR="007B6332">
              <w:rPr>
                <w:rFonts w:asciiTheme="majorHAnsi" w:hAnsiTheme="majorHAnsi" w:cstheme="majorHAnsi"/>
                <w:spacing w:val="-2"/>
                <w:szCs w:val="18"/>
                <w:lang w:val="en-US"/>
              </w:rPr>
              <w:t xml:space="preserve"> services</w:t>
            </w:r>
            <w:r w:rsidR="00171DA5">
              <w:rPr>
                <w:rFonts w:asciiTheme="majorHAnsi" w:hAnsiTheme="majorHAnsi" w:cstheme="majorHAnsi"/>
                <w:spacing w:val="-2"/>
                <w:szCs w:val="18"/>
                <w:lang w:val="en-US"/>
              </w:rPr>
              <w:t xml:space="preserve"> and balance</w:t>
            </w:r>
            <w:r w:rsidR="00B47C11">
              <w:rPr>
                <w:rFonts w:asciiTheme="majorHAnsi" w:hAnsiTheme="majorHAnsi" w:cstheme="majorHAnsi"/>
                <w:spacing w:val="-2"/>
                <w:szCs w:val="18"/>
                <w:lang w:val="en-US"/>
              </w:rPr>
              <w:t xml:space="preserve"> of </w:t>
            </w:r>
            <w:r w:rsidR="007B6332">
              <w:rPr>
                <w:rFonts w:asciiTheme="majorHAnsi" w:hAnsiTheme="majorHAnsi" w:cstheme="majorHAnsi"/>
                <w:spacing w:val="-2"/>
                <w:szCs w:val="18"/>
                <w:lang w:val="en-US"/>
              </w:rPr>
              <w:t xml:space="preserve">accounting </w:t>
            </w:r>
            <w:r w:rsidR="006832E0">
              <w:rPr>
                <w:rFonts w:asciiTheme="majorHAnsi" w:hAnsiTheme="majorHAnsi" w:cstheme="majorHAnsi"/>
                <w:spacing w:val="-2"/>
                <w:szCs w:val="18"/>
                <w:lang w:val="en-US"/>
              </w:rPr>
              <w:t>transactions</w:t>
            </w:r>
            <w:r w:rsidR="007B6332">
              <w:rPr>
                <w:rFonts w:asciiTheme="majorHAnsi" w:hAnsiTheme="majorHAnsi" w:cstheme="majorHAnsi"/>
                <w:spacing w:val="-2"/>
                <w:szCs w:val="18"/>
                <w:lang w:val="en-US"/>
              </w:rPr>
              <w:t xml:space="preserve"> relating</w:t>
            </w:r>
            <w:r w:rsidR="000964DE">
              <w:rPr>
                <w:rFonts w:asciiTheme="majorHAnsi" w:hAnsiTheme="majorHAnsi" w:cstheme="majorHAnsi"/>
                <w:spacing w:val="-2"/>
                <w:szCs w:val="18"/>
                <w:lang w:val="en-US"/>
              </w:rPr>
              <w:t xml:space="preserve"> to</w:t>
            </w:r>
            <w:r w:rsidR="007B6332">
              <w:rPr>
                <w:rFonts w:asciiTheme="majorHAnsi" w:hAnsiTheme="majorHAnsi" w:cstheme="majorHAnsi"/>
                <w:spacing w:val="-2"/>
                <w:szCs w:val="18"/>
                <w:lang w:val="en-US"/>
              </w:rPr>
              <w:t xml:space="preserve"> revenue recognition</w:t>
            </w:r>
            <w:r w:rsidR="00EF1EAF" w:rsidRPr="007568DA">
              <w:rPr>
                <w:rFonts w:asciiTheme="majorHAnsi" w:hAnsiTheme="majorHAnsi" w:cstheme="majorHAnsi"/>
                <w:spacing w:val="-2"/>
                <w:szCs w:val="18"/>
                <w:lang w:val="en-US"/>
              </w:rPr>
              <w:t xml:space="preserve"> in Note</w:t>
            </w:r>
            <w:r w:rsidR="00E031EA">
              <w:rPr>
                <w:rFonts w:asciiTheme="majorHAnsi" w:hAnsiTheme="majorHAnsi" w:cstheme="majorHAnsi"/>
                <w:spacing w:val="-2"/>
                <w:szCs w:val="18"/>
                <w:lang w:val="en-US"/>
              </w:rPr>
              <w:t>s</w:t>
            </w:r>
            <w:r w:rsidR="00EF1EAF" w:rsidRPr="007568DA">
              <w:rPr>
                <w:rFonts w:asciiTheme="majorHAnsi" w:hAnsiTheme="majorHAnsi" w:cstheme="majorHAnsi"/>
                <w:spacing w:val="-2"/>
                <w:szCs w:val="18"/>
                <w:lang w:val="en-US"/>
              </w:rPr>
              <w:t xml:space="preserve"> </w:t>
            </w:r>
            <w:r w:rsidR="00F20FF2">
              <w:rPr>
                <w:rFonts w:asciiTheme="majorHAnsi" w:hAnsiTheme="majorHAnsi" w:cstheme="majorHAnsi"/>
                <w:spacing w:val="-2"/>
                <w:szCs w:val="18"/>
                <w:lang w:val="en-US"/>
              </w:rPr>
              <w:t>4</w:t>
            </w:r>
            <w:r w:rsidR="007B6332">
              <w:rPr>
                <w:rFonts w:asciiTheme="majorHAnsi" w:hAnsiTheme="majorHAnsi" w:cstheme="majorHAnsi"/>
                <w:spacing w:val="-2"/>
                <w:szCs w:val="18"/>
                <w:lang w:val="en-US"/>
              </w:rPr>
              <w:t>, 1</w:t>
            </w:r>
            <w:r w:rsidR="0024044C">
              <w:rPr>
                <w:rFonts w:asciiTheme="majorHAnsi" w:hAnsiTheme="majorHAnsi" w:cstheme="majorHAnsi"/>
                <w:spacing w:val="-2"/>
                <w:szCs w:val="18"/>
                <w:lang w:val="en-US"/>
              </w:rPr>
              <w:t>2</w:t>
            </w:r>
            <w:r w:rsidR="007B6332">
              <w:rPr>
                <w:rFonts w:asciiTheme="majorHAnsi" w:hAnsiTheme="majorHAnsi" w:cstheme="majorHAnsi"/>
                <w:spacing w:val="-2"/>
                <w:szCs w:val="18"/>
                <w:lang w:val="en-US"/>
              </w:rPr>
              <w:t xml:space="preserve"> and </w:t>
            </w:r>
            <w:r w:rsidR="00FE1691">
              <w:rPr>
                <w:rFonts w:asciiTheme="majorHAnsi" w:hAnsiTheme="majorHAnsi" w:cstheme="majorHAnsi"/>
                <w:spacing w:val="-2"/>
                <w:szCs w:val="18"/>
                <w:lang w:val="en-US"/>
              </w:rPr>
              <w:t>48</w:t>
            </w:r>
            <w:r w:rsidR="00EF1EAF" w:rsidRPr="007568DA">
              <w:rPr>
                <w:rFonts w:asciiTheme="majorHAnsi" w:hAnsiTheme="majorHAnsi" w:cstheme="majorHAnsi"/>
                <w:spacing w:val="-2"/>
                <w:szCs w:val="18"/>
                <w:lang w:val="en-US"/>
              </w:rPr>
              <w:t xml:space="preserve"> to financial statements.</w:t>
            </w:r>
          </w:p>
        </w:tc>
        <w:tc>
          <w:tcPr>
            <w:tcW w:w="4253" w:type="dxa"/>
            <w:tcBorders>
              <w:bottom w:val="single" w:sz="4" w:space="0" w:color="auto"/>
            </w:tcBorders>
            <w:shd w:val="clear" w:color="auto" w:fill="auto"/>
          </w:tcPr>
          <w:p w14:paraId="68ACF466"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Cs w:val="18"/>
                <w:lang w:val="en-US"/>
              </w:rPr>
            </w:pPr>
          </w:p>
          <w:p w14:paraId="4E28EE15" w14:textId="2695C13A" w:rsidR="00EF1EAF" w:rsidRPr="0032246D" w:rsidRDefault="00EF1EAF" w:rsidP="00A62B3D">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65991C44" w14:textId="4CA146A2" w:rsidR="00C72A4F" w:rsidRDefault="00EF1EA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Obtained an understanding the process </w:t>
            </w:r>
            <w:r w:rsidR="00AD08E6">
              <w:rPr>
                <w:rFonts w:asciiTheme="majorHAnsi" w:hAnsiTheme="majorHAnsi" w:cstheme="majorHAnsi"/>
                <w:szCs w:val="18"/>
                <w:lang w:val="en-US"/>
              </w:rPr>
              <w:t>and internal contr</w:t>
            </w:r>
            <w:r w:rsidR="006A7DC8">
              <w:rPr>
                <w:rFonts w:asciiTheme="majorHAnsi" w:hAnsiTheme="majorHAnsi" w:cstheme="majorHAnsi"/>
                <w:szCs w:val="18"/>
                <w:lang w:val="en-US"/>
              </w:rPr>
              <w:t xml:space="preserve">ol </w:t>
            </w:r>
            <w:r w:rsidRPr="0032246D">
              <w:rPr>
                <w:rFonts w:asciiTheme="majorHAnsi" w:hAnsiTheme="majorHAnsi" w:cstheme="majorHAnsi"/>
                <w:szCs w:val="18"/>
                <w:lang w:val="en-US"/>
              </w:rPr>
              <w:t>for the preparation of reports and</w:t>
            </w:r>
            <w:r w:rsidR="00CD4738" w:rsidRPr="00766BC0">
              <w:rPr>
                <w:rFonts w:asciiTheme="majorHAnsi" w:hAnsiTheme="majorHAnsi" w:cstheme="majorHAnsi" w:hint="cs"/>
                <w:szCs w:val="18"/>
                <w:cs/>
                <w:lang w:val="en-US" w:bidi="th-TH"/>
              </w:rPr>
              <w:t xml:space="preserve"> </w:t>
            </w:r>
            <w:r w:rsidRPr="0032246D">
              <w:rPr>
                <w:rFonts w:asciiTheme="majorHAnsi" w:hAnsiTheme="majorHAnsi" w:cstheme="majorHAnsi"/>
                <w:szCs w:val="18"/>
                <w:lang w:val="en-US"/>
              </w:rPr>
              <w:t>budgets</w:t>
            </w:r>
            <w:r w:rsidR="00CD4738">
              <w:rPr>
                <w:rFonts w:asciiTheme="majorHAnsi" w:hAnsiTheme="majorHAnsi" w:cstheme="majorHAnsi"/>
                <w:szCs w:val="18"/>
                <w:lang w:val="en-US"/>
              </w:rPr>
              <w:t xml:space="preserve"> estimation</w:t>
            </w:r>
            <w:r w:rsidRPr="0032246D">
              <w:rPr>
                <w:rFonts w:asciiTheme="majorHAnsi" w:hAnsiTheme="majorHAnsi" w:cstheme="majorHAnsi"/>
                <w:szCs w:val="18"/>
                <w:lang w:val="en-US"/>
              </w:rPr>
              <w:t xml:space="preserve"> used for the determination of the percentage</w:t>
            </w:r>
            <w:r w:rsidR="00EF4E2C">
              <w:rPr>
                <w:rFonts w:asciiTheme="majorHAnsi" w:hAnsiTheme="majorHAnsi" w:cstheme="majorHAnsi"/>
                <w:szCs w:val="18"/>
                <w:lang w:val="en-US"/>
              </w:rPr>
              <w:t>s</w:t>
            </w:r>
            <w:r w:rsidRPr="0032246D">
              <w:rPr>
                <w:rFonts w:asciiTheme="majorHAnsi" w:hAnsiTheme="majorHAnsi" w:cstheme="majorHAnsi"/>
                <w:szCs w:val="18"/>
                <w:lang w:val="en-US"/>
              </w:rPr>
              <w:t xml:space="preserve"> of completion</w:t>
            </w:r>
            <w:r w:rsidR="00C72A4F">
              <w:rPr>
                <w:rFonts w:asciiTheme="majorHAnsi" w:hAnsiTheme="majorHAnsi" w:cstheme="majorHAnsi"/>
                <w:szCs w:val="18"/>
                <w:lang w:val="en-US"/>
              </w:rPr>
              <w:t xml:space="preserve"> of construction project</w:t>
            </w:r>
            <w:r w:rsidR="00EF4E2C">
              <w:rPr>
                <w:rFonts w:asciiTheme="majorHAnsi" w:hAnsiTheme="majorHAnsi" w:cstheme="majorHAnsi"/>
                <w:szCs w:val="18"/>
                <w:lang w:val="en-US"/>
              </w:rPr>
              <w:t>s</w:t>
            </w:r>
            <w:r w:rsidR="00C72A4F">
              <w:rPr>
                <w:rFonts w:asciiTheme="majorHAnsi" w:hAnsiTheme="majorHAnsi" w:cstheme="majorHAnsi"/>
                <w:szCs w:val="18"/>
                <w:lang w:val="en-US"/>
              </w:rPr>
              <w:t xml:space="preserve"> of the Group and the Company. </w:t>
            </w:r>
          </w:p>
          <w:p w14:paraId="76651C7D" w14:textId="242F9185" w:rsidR="00EF1EAF" w:rsidRDefault="00C72A4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Pr>
                <w:rFonts w:asciiTheme="majorHAnsi" w:hAnsiTheme="majorHAnsi" w:cstheme="majorHAnsi"/>
                <w:szCs w:val="18"/>
                <w:lang w:val="en-US"/>
              </w:rPr>
              <w:t>Sampl</w:t>
            </w:r>
            <w:r w:rsidR="00636091">
              <w:rPr>
                <w:rFonts w:asciiTheme="majorHAnsi" w:hAnsiTheme="majorHAnsi" w:cstheme="majorHAnsi"/>
                <w:szCs w:val="18"/>
                <w:lang w:val="en-US"/>
              </w:rPr>
              <w:t>i</w:t>
            </w:r>
            <w:r>
              <w:rPr>
                <w:rFonts w:asciiTheme="majorHAnsi" w:hAnsiTheme="majorHAnsi" w:cstheme="majorHAnsi"/>
                <w:szCs w:val="18"/>
                <w:lang w:val="en-US"/>
              </w:rPr>
              <w:t>ng tested cost budgets estimation for construction project</w:t>
            </w:r>
            <w:r w:rsidR="00EF4E2C">
              <w:rPr>
                <w:rFonts w:asciiTheme="majorHAnsi" w:hAnsiTheme="majorHAnsi" w:cstheme="majorHAnsi"/>
                <w:szCs w:val="18"/>
                <w:lang w:val="en-US"/>
              </w:rPr>
              <w:t>s</w:t>
            </w:r>
            <w:r>
              <w:rPr>
                <w:rFonts w:asciiTheme="majorHAnsi" w:hAnsiTheme="majorHAnsi" w:cstheme="majorHAnsi"/>
                <w:szCs w:val="18"/>
                <w:lang w:val="en-US"/>
              </w:rPr>
              <w:t xml:space="preserve"> by making inquiry of responsible executives and assessed the appropriateness of estimation. </w:t>
            </w:r>
          </w:p>
          <w:p w14:paraId="0AD65510" w14:textId="60461250" w:rsidR="00C72A4F" w:rsidRPr="0032246D" w:rsidRDefault="00C72A4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Tested and assessed the </w:t>
            </w:r>
            <w:r w:rsidR="005C706E">
              <w:rPr>
                <w:rFonts w:asciiTheme="majorHAnsi" w:hAnsiTheme="majorHAnsi" w:cstheme="majorHAnsi"/>
                <w:szCs w:val="18"/>
                <w:lang w:val="en-US"/>
              </w:rPr>
              <w:t>reasonabl</w:t>
            </w:r>
            <w:r w:rsidRPr="0032246D">
              <w:rPr>
                <w:rFonts w:asciiTheme="majorHAnsi" w:hAnsiTheme="majorHAnsi" w:cstheme="majorHAnsi"/>
                <w:szCs w:val="18"/>
                <w:lang w:val="en-US"/>
              </w:rPr>
              <w:t>eness of changes in estimated costs during the year</w:t>
            </w:r>
            <w:r w:rsidR="00723550">
              <w:rPr>
                <w:rFonts w:asciiTheme="majorHAnsi" w:hAnsiTheme="majorHAnsi" w:cstheme="majorHAnsi"/>
                <w:szCs w:val="18"/>
                <w:lang w:val="en-US"/>
              </w:rPr>
              <w:t>.</w:t>
            </w:r>
            <w:r w:rsidRPr="0032246D">
              <w:rPr>
                <w:rFonts w:asciiTheme="majorHAnsi" w:hAnsiTheme="majorHAnsi" w:cstheme="majorHAnsi"/>
                <w:szCs w:val="18"/>
                <w:lang w:val="en-US"/>
              </w:rPr>
              <w:t xml:space="preserve"> </w:t>
            </w:r>
          </w:p>
          <w:p w14:paraId="2002E01F" w14:textId="7142B8DC" w:rsidR="00EF1EAF" w:rsidRPr="0032246D" w:rsidRDefault="00EB5D62"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Pr>
                <w:rFonts w:asciiTheme="majorHAnsi" w:hAnsiTheme="majorHAnsi" w:cstheme="majorHAnsi"/>
                <w:szCs w:val="18"/>
                <w:lang w:val="en-US"/>
              </w:rPr>
              <w:t>Sampl</w:t>
            </w:r>
            <w:r w:rsidR="00F170FC">
              <w:rPr>
                <w:rFonts w:asciiTheme="majorHAnsi" w:hAnsiTheme="majorHAnsi" w:cstheme="majorHAnsi"/>
                <w:szCs w:val="18"/>
                <w:lang w:val="en-US"/>
              </w:rPr>
              <w:t>ing</w:t>
            </w:r>
            <w:r>
              <w:rPr>
                <w:rFonts w:asciiTheme="majorHAnsi" w:hAnsiTheme="majorHAnsi" w:cstheme="majorHAnsi"/>
                <w:szCs w:val="18"/>
                <w:lang w:val="en-US"/>
              </w:rPr>
              <w:t xml:space="preserve"> v</w:t>
            </w:r>
            <w:r w:rsidR="00EF1EAF" w:rsidRPr="0032246D">
              <w:rPr>
                <w:rFonts w:asciiTheme="majorHAnsi" w:hAnsiTheme="majorHAnsi" w:cstheme="majorHAnsi"/>
                <w:szCs w:val="18"/>
                <w:lang w:val="en-US"/>
              </w:rPr>
              <w:t>erified the actual cost</w:t>
            </w:r>
            <w:r w:rsidR="00EF4E2C">
              <w:rPr>
                <w:rFonts w:asciiTheme="majorHAnsi" w:hAnsiTheme="majorHAnsi" w:cstheme="majorHAnsi"/>
                <w:szCs w:val="18"/>
                <w:lang w:val="en-US"/>
              </w:rPr>
              <w:t>s</w:t>
            </w:r>
            <w:r w:rsidR="00C72A4F">
              <w:rPr>
                <w:rFonts w:asciiTheme="majorHAnsi" w:hAnsiTheme="majorHAnsi" w:cstheme="majorHAnsi"/>
                <w:szCs w:val="18"/>
                <w:lang w:val="en-US"/>
              </w:rPr>
              <w:t xml:space="preserve"> with supporting document</w:t>
            </w:r>
            <w:r w:rsidR="00636091">
              <w:rPr>
                <w:rFonts w:asciiTheme="majorHAnsi" w:hAnsiTheme="majorHAnsi" w:cstheme="majorHAnsi"/>
                <w:szCs w:val="18"/>
                <w:lang w:val="en-US"/>
              </w:rPr>
              <w:t>s</w:t>
            </w:r>
            <w:r w:rsidR="00EF1EAF" w:rsidRPr="0032246D">
              <w:rPr>
                <w:rFonts w:asciiTheme="majorHAnsi" w:hAnsiTheme="majorHAnsi" w:cstheme="majorHAnsi"/>
                <w:szCs w:val="18"/>
                <w:lang w:val="en-US"/>
              </w:rPr>
              <w:t xml:space="preserve"> and</w:t>
            </w:r>
            <w:r w:rsidR="00C72A4F">
              <w:rPr>
                <w:rFonts w:asciiTheme="majorHAnsi" w:hAnsiTheme="majorHAnsi" w:cstheme="majorHAnsi"/>
                <w:szCs w:val="18"/>
                <w:lang w:val="en-US"/>
              </w:rPr>
              <w:t xml:space="preserve"> assessed the reasonableness of</w:t>
            </w:r>
            <w:r w:rsidR="00EF1EAF" w:rsidRPr="0032246D">
              <w:rPr>
                <w:rFonts w:asciiTheme="majorHAnsi" w:hAnsiTheme="majorHAnsi" w:cstheme="majorHAnsi"/>
                <w:szCs w:val="18"/>
                <w:lang w:val="en-US"/>
              </w:rPr>
              <w:t xml:space="preserve"> estimated costs to complete</w:t>
            </w:r>
            <w:r w:rsidR="00C72A4F">
              <w:rPr>
                <w:rFonts w:asciiTheme="majorHAnsi" w:hAnsiTheme="majorHAnsi" w:cstheme="majorHAnsi"/>
                <w:szCs w:val="18"/>
                <w:lang w:val="en-US"/>
              </w:rPr>
              <w:t xml:space="preserve"> </w:t>
            </w:r>
            <w:r w:rsidR="00EF1EAF" w:rsidRPr="0032246D">
              <w:rPr>
                <w:rFonts w:asciiTheme="majorHAnsi" w:hAnsiTheme="majorHAnsi" w:cstheme="majorHAnsi"/>
                <w:szCs w:val="18"/>
                <w:lang w:val="en-US"/>
              </w:rPr>
              <w:t>the</w:t>
            </w:r>
            <w:r w:rsidR="00EF4E2C">
              <w:rPr>
                <w:rFonts w:asciiTheme="majorHAnsi" w:hAnsiTheme="majorHAnsi" w:cstheme="majorHAnsi"/>
                <w:szCs w:val="18"/>
                <w:lang w:val="en-US"/>
              </w:rPr>
              <w:t xml:space="preserve"> construction</w:t>
            </w:r>
            <w:r w:rsidR="00EF1EAF" w:rsidRPr="0032246D">
              <w:rPr>
                <w:rFonts w:asciiTheme="majorHAnsi" w:hAnsiTheme="majorHAnsi" w:cstheme="majorHAnsi"/>
                <w:szCs w:val="18"/>
                <w:lang w:val="en-US"/>
              </w:rPr>
              <w:t xml:space="preserve"> </w:t>
            </w:r>
            <w:r w:rsidR="00E80503">
              <w:rPr>
                <w:rFonts w:asciiTheme="majorHAnsi" w:hAnsiTheme="majorHAnsi" w:cstheme="majorHAnsi"/>
                <w:szCs w:val="18"/>
                <w:lang w:val="en-US"/>
              </w:rPr>
              <w:t>for</w:t>
            </w:r>
            <w:r w:rsidR="00686A59">
              <w:rPr>
                <w:rFonts w:asciiTheme="majorHAnsi" w:hAnsiTheme="majorHAnsi" w:cstheme="majorHAnsi"/>
                <w:szCs w:val="18"/>
                <w:lang w:val="en-US"/>
              </w:rPr>
              <w:t xml:space="preserve"> evaluate the possible losses on the construction projects.</w:t>
            </w:r>
          </w:p>
          <w:p w14:paraId="69F16BF0" w14:textId="54B4AB52" w:rsidR="00362F89" w:rsidRPr="00766BC0" w:rsidRDefault="00362F89" w:rsidP="00862340">
            <w:pPr>
              <w:numPr>
                <w:ilvl w:val="0"/>
                <w:numId w:val="21"/>
              </w:numPr>
              <w:autoSpaceDE w:val="0"/>
              <w:autoSpaceDN w:val="0"/>
              <w:spacing w:after="0" w:line="360" w:lineRule="auto"/>
              <w:ind w:left="258" w:hanging="258"/>
              <w:jc w:val="both"/>
              <w:rPr>
                <w:rFonts w:asciiTheme="majorHAnsi" w:hAnsiTheme="majorHAnsi" w:cstheme="majorHAnsi"/>
                <w:szCs w:val="18"/>
                <w:lang w:val="en-US"/>
              </w:rPr>
            </w:pPr>
            <w:r w:rsidRPr="00766BC0">
              <w:rPr>
                <w:rFonts w:asciiTheme="majorHAnsi" w:hAnsiTheme="majorHAnsi" w:cstheme="majorHAnsi"/>
                <w:szCs w:val="18"/>
                <w:lang w:val="en-US"/>
              </w:rPr>
              <w:t>Compared gross profit from the start of project</w:t>
            </w:r>
            <w:r w:rsidR="00EF4E2C" w:rsidRPr="00766BC0">
              <w:rPr>
                <w:rFonts w:asciiTheme="majorHAnsi" w:hAnsiTheme="majorHAnsi" w:cstheme="majorHAnsi"/>
                <w:szCs w:val="18"/>
                <w:lang w:val="en-US"/>
              </w:rPr>
              <w:t>s</w:t>
            </w:r>
            <w:r w:rsidRPr="00766BC0">
              <w:rPr>
                <w:rFonts w:asciiTheme="majorHAnsi" w:hAnsiTheme="majorHAnsi" w:cstheme="majorHAnsi"/>
                <w:szCs w:val="18"/>
                <w:lang w:val="en-US"/>
              </w:rPr>
              <w:t xml:space="preserve"> </w:t>
            </w:r>
            <w:r w:rsidR="000D03A3" w:rsidRPr="00766BC0">
              <w:rPr>
                <w:rFonts w:asciiTheme="majorHAnsi" w:hAnsiTheme="majorHAnsi" w:cstheme="majorHAnsi"/>
                <w:szCs w:val="18"/>
                <w:lang w:val="en-US"/>
              </w:rPr>
              <w:br/>
            </w:r>
            <w:r w:rsidRPr="00766BC0">
              <w:rPr>
                <w:rFonts w:asciiTheme="majorHAnsi" w:hAnsiTheme="majorHAnsi" w:cstheme="majorHAnsi"/>
                <w:szCs w:val="18"/>
                <w:lang w:val="en-US"/>
              </w:rPr>
              <w:t xml:space="preserve">up to </w:t>
            </w:r>
            <w:r w:rsidR="00B91BAF" w:rsidRPr="00766BC0">
              <w:rPr>
                <w:rFonts w:asciiTheme="majorHAnsi" w:hAnsiTheme="majorHAnsi" w:cstheme="majorHAnsi"/>
                <w:szCs w:val="18"/>
                <w:lang w:val="en-US"/>
              </w:rPr>
              <w:t>date</w:t>
            </w:r>
            <w:r w:rsidRPr="00766BC0">
              <w:rPr>
                <w:rFonts w:asciiTheme="majorHAnsi" w:hAnsiTheme="majorHAnsi" w:cstheme="majorHAnsi"/>
                <w:szCs w:val="18"/>
                <w:lang w:val="en-US"/>
              </w:rPr>
              <w:t xml:space="preserve"> </w:t>
            </w:r>
            <w:r w:rsidR="00B068A5" w:rsidRPr="00766BC0">
              <w:rPr>
                <w:rFonts w:asciiTheme="majorHAnsi" w:hAnsiTheme="majorHAnsi" w:cstheme="majorHAnsi"/>
                <w:szCs w:val="18"/>
                <w:lang w:val="en-US"/>
              </w:rPr>
              <w:t>to</w:t>
            </w:r>
            <w:r w:rsidR="00591ECF">
              <w:rPr>
                <w:rFonts w:asciiTheme="majorHAnsi" w:hAnsiTheme="majorHAnsi" w:cstheme="majorHAnsi"/>
                <w:szCs w:val="18"/>
                <w:lang w:val="en-US"/>
              </w:rPr>
              <w:t xml:space="preserve"> </w:t>
            </w:r>
            <w:r w:rsidR="00862340">
              <w:rPr>
                <w:rFonts w:asciiTheme="majorHAnsi" w:hAnsiTheme="majorHAnsi" w:cstheme="majorHAnsi"/>
                <w:szCs w:val="18"/>
                <w:lang w:val="en-US"/>
              </w:rPr>
              <w:t>evaluate</w:t>
            </w:r>
            <w:r w:rsidR="00591ECF">
              <w:rPr>
                <w:rFonts w:asciiTheme="majorHAnsi" w:hAnsiTheme="majorHAnsi" w:cstheme="majorHAnsi"/>
                <w:szCs w:val="18"/>
                <w:lang w:val="en-US"/>
              </w:rPr>
              <w:t xml:space="preserve"> </w:t>
            </w:r>
            <w:r w:rsidR="00862340">
              <w:rPr>
                <w:rFonts w:asciiTheme="majorHAnsi" w:hAnsiTheme="majorHAnsi" w:cstheme="majorHAnsi"/>
                <w:szCs w:val="18"/>
                <w:lang w:val="en-US"/>
              </w:rPr>
              <w:t xml:space="preserve">and </w:t>
            </w:r>
            <w:r w:rsidR="00862340" w:rsidRPr="00766BC0">
              <w:rPr>
                <w:rFonts w:asciiTheme="majorHAnsi" w:hAnsiTheme="majorHAnsi" w:cstheme="majorHAnsi"/>
                <w:szCs w:val="18"/>
                <w:lang w:val="en-US"/>
              </w:rPr>
              <w:t>assess</w:t>
            </w:r>
            <w:r w:rsidR="00B068A5" w:rsidRPr="00766BC0">
              <w:rPr>
                <w:rFonts w:asciiTheme="majorHAnsi" w:hAnsiTheme="majorHAnsi" w:cstheme="majorHAnsi"/>
                <w:szCs w:val="18"/>
                <w:lang w:val="en-US"/>
              </w:rPr>
              <w:t xml:space="preserve"> </w:t>
            </w:r>
            <w:r w:rsidRPr="00766BC0">
              <w:rPr>
                <w:rFonts w:asciiTheme="majorHAnsi" w:hAnsiTheme="majorHAnsi" w:cstheme="majorHAnsi"/>
                <w:szCs w:val="18"/>
                <w:lang w:val="en-US"/>
              </w:rPr>
              <w:t>the</w:t>
            </w:r>
            <w:r w:rsidR="00B068A5" w:rsidRPr="00766BC0">
              <w:rPr>
                <w:rFonts w:asciiTheme="majorHAnsi" w:hAnsiTheme="majorHAnsi" w:cstheme="majorHAnsi"/>
                <w:szCs w:val="18"/>
                <w:lang w:val="en-US"/>
              </w:rPr>
              <w:t xml:space="preserve"> </w:t>
            </w:r>
            <w:r w:rsidRPr="00766BC0">
              <w:rPr>
                <w:rFonts w:asciiTheme="majorHAnsi" w:hAnsiTheme="majorHAnsi" w:cstheme="majorHAnsi"/>
                <w:szCs w:val="18"/>
                <w:lang w:val="en-US"/>
              </w:rPr>
              <w:t xml:space="preserve">appropriateness of estimated costs. </w:t>
            </w:r>
            <w:r w:rsidRPr="00766BC0">
              <w:rPr>
                <w:rFonts w:asciiTheme="majorHAnsi" w:hAnsiTheme="majorHAnsi" w:cstheme="majorHAnsi"/>
                <w:szCs w:val="18"/>
                <w:rtl/>
                <w:cs/>
                <w:lang w:val="en-US"/>
              </w:rPr>
              <w:t xml:space="preserve"> </w:t>
            </w:r>
          </w:p>
          <w:p w14:paraId="3EC57024" w14:textId="28517157" w:rsidR="0090310A" w:rsidRDefault="008E7707"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Pr>
                <w:rFonts w:asciiTheme="majorHAnsi" w:hAnsiTheme="majorHAnsi" w:cstheme="majorHAnsi"/>
                <w:szCs w:val="18"/>
                <w:lang w:val="en-US"/>
              </w:rPr>
              <w:t>Sampling</w:t>
            </w:r>
            <w:r w:rsidR="00D2249B">
              <w:rPr>
                <w:rFonts w:asciiTheme="majorHAnsi" w:hAnsiTheme="majorHAnsi" w:cstheme="majorHAnsi"/>
                <w:szCs w:val="18"/>
                <w:lang w:val="en-US"/>
              </w:rPr>
              <w:t xml:space="preserve"> test</w:t>
            </w:r>
            <w:r w:rsidR="00E14306">
              <w:rPr>
                <w:rFonts w:asciiTheme="majorHAnsi" w:hAnsiTheme="majorHAnsi" w:cstheme="majorHAnsi"/>
                <w:szCs w:val="18"/>
                <w:lang w:val="en-US"/>
              </w:rPr>
              <w:t>ed</w:t>
            </w:r>
            <w:r w:rsidR="00D2249B">
              <w:rPr>
                <w:rFonts w:asciiTheme="majorHAnsi" w:hAnsiTheme="majorHAnsi" w:cstheme="majorHAnsi"/>
                <w:szCs w:val="18"/>
                <w:lang w:val="en-US"/>
              </w:rPr>
              <w:t xml:space="preserve"> </w:t>
            </w:r>
            <w:r w:rsidR="00D821D1">
              <w:rPr>
                <w:rFonts w:asciiTheme="majorHAnsi" w:hAnsiTheme="majorHAnsi" w:cstheme="majorHAnsi"/>
                <w:szCs w:val="18"/>
                <w:lang w:val="en-US"/>
              </w:rPr>
              <w:t>contract</w:t>
            </w:r>
            <w:r w:rsidR="00775FED">
              <w:rPr>
                <w:rFonts w:asciiTheme="majorHAnsi" w:hAnsiTheme="majorHAnsi" w:cstheme="majorHAnsi"/>
                <w:szCs w:val="18"/>
                <w:lang w:val="en-US"/>
              </w:rPr>
              <w:t>s</w:t>
            </w:r>
            <w:r w:rsidR="004F7ABD">
              <w:rPr>
                <w:rFonts w:asciiTheme="majorHAnsi" w:hAnsiTheme="majorHAnsi" w:cstheme="majorHAnsi"/>
                <w:szCs w:val="18"/>
                <w:lang w:val="en-US"/>
              </w:rPr>
              <w:t xml:space="preserve"> with change</w:t>
            </w:r>
            <w:r w:rsidR="001577B3">
              <w:rPr>
                <w:rFonts w:asciiTheme="majorHAnsi" w:hAnsiTheme="majorHAnsi" w:cstheme="majorHAnsi"/>
                <w:szCs w:val="18"/>
                <w:lang w:val="en-US"/>
              </w:rPr>
              <w:t>d</w:t>
            </w:r>
            <w:r w:rsidR="004F7ABD">
              <w:rPr>
                <w:rFonts w:asciiTheme="majorHAnsi" w:hAnsiTheme="majorHAnsi" w:cstheme="majorHAnsi"/>
                <w:szCs w:val="18"/>
                <w:lang w:val="en-US"/>
              </w:rPr>
              <w:t xml:space="preserve"> order</w:t>
            </w:r>
            <w:r w:rsidR="00D0786E">
              <w:rPr>
                <w:rFonts w:asciiTheme="majorHAnsi" w:hAnsiTheme="majorHAnsi" w:cstheme="majorHAnsi"/>
                <w:szCs w:val="18"/>
                <w:lang w:val="en-US"/>
              </w:rPr>
              <w:t>s</w:t>
            </w:r>
            <w:r w:rsidR="00A16AA0">
              <w:rPr>
                <w:rFonts w:asciiTheme="majorHAnsi" w:hAnsiTheme="majorHAnsi" w:cstheme="majorHAnsi"/>
                <w:szCs w:val="18"/>
                <w:lang w:val="en-US"/>
              </w:rPr>
              <w:t xml:space="preserve"> </w:t>
            </w:r>
            <w:r w:rsidR="00E14306">
              <w:rPr>
                <w:rFonts w:asciiTheme="majorHAnsi" w:hAnsiTheme="majorHAnsi" w:cstheme="majorHAnsi"/>
                <w:szCs w:val="18"/>
                <w:lang w:val="en-US"/>
              </w:rPr>
              <w:t xml:space="preserve">during the year with </w:t>
            </w:r>
            <w:r w:rsidR="00007ACD">
              <w:rPr>
                <w:rFonts w:asciiTheme="majorHAnsi" w:hAnsiTheme="majorHAnsi" w:cstheme="majorHAnsi"/>
                <w:szCs w:val="18"/>
                <w:lang w:val="en-US"/>
              </w:rPr>
              <w:t>supporting document</w:t>
            </w:r>
            <w:r w:rsidR="001577B3">
              <w:rPr>
                <w:rFonts w:asciiTheme="majorHAnsi" w:hAnsiTheme="majorHAnsi" w:cstheme="majorHAnsi"/>
                <w:szCs w:val="18"/>
                <w:lang w:val="en-US"/>
              </w:rPr>
              <w:t>s</w:t>
            </w:r>
            <w:r w:rsidR="00DF71E8">
              <w:rPr>
                <w:rFonts w:asciiTheme="majorHAnsi" w:hAnsiTheme="majorHAnsi" w:cstheme="majorHAnsi"/>
                <w:szCs w:val="18"/>
                <w:lang w:val="en-US"/>
              </w:rPr>
              <w:t xml:space="preserve"> and </w:t>
            </w:r>
            <w:r w:rsidR="008376C3">
              <w:rPr>
                <w:rFonts w:asciiTheme="majorHAnsi" w:hAnsiTheme="majorHAnsi" w:cstheme="majorHAnsi"/>
                <w:szCs w:val="18"/>
                <w:lang w:val="en-US"/>
              </w:rPr>
              <w:t xml:space="preserve">assessed the </w:t>
            </w:r>
            <w:r w:rsidR="00985F56">
              <w:rPr>
                <w:rFonts w:asciiTheme="majorHAnsi" w:hAnsiTheme="majorHAnsi" w:cstheme="majorHAnsi"/>
                <w:szCs w:val="18"/>
                <w:lang w:val="en-US"/>
              </w:rPr>
              <w:t xml:space="preserve">reasonableness </w:t>
            </w:r>
            <w:r w:rsidR="00CF2637">
              <w:rPr>
                <w:rFonts w:asciiTheme="majorHAnsi" w:hAnsiTheme="majorHAnsi" w:cstheme="majorHAnsi"/>
                <w:szCs w:val="18"/>
                <w:lang w:val="en-US"/>
              </w:rPr>
              <w:t>of</w:t>
            </w:r>
            <w:r w:rsidR="005039EC">
              <w:rPr>
                <w:rFonts w:asciiTheme="majorHAnsi" w:hAnsiTheme="majorHAnsi" w:cstheme="majorHAnsi"/>
                <w:szCs w:val="18"/>
                <w:lang w:val="en-US"/>
              </w:rPr>
              <w:t xml:space="preserve"> consideration </w:t>
            </w:r>
            <w:r w:rsidR="00D97DEB">
              <w:rPr>
                <w:rFonts w:asciiTheme="majorHAnsi" w:hAnsiTheme="majorHAnsi" w:cstheme="majorHAnsi"/>
                <w:szCs w:val="18"/>
                <w:lang w:val="en-US"/>
              </w:rPr>
              <w:t xml:space="preserve">which the Group </w:t>
            </w:r>
            <w:r w:rsidR="00422129">
              <w:rPr>
                <w:rFonts w:asciiTheme="majorHAnsi" w:hAnsiTheme="majorHAnsi" w:cstheme="majorHAnsi"/>
                <w:szCs w:val="18"/>
                <w:lang w:val="en-US"/>
              </w:rPr>
              <w:t xml:space="preserve">and the Company </w:t>
            </w:r>
            <w:r w:rsidR="00D97DEB">
              <w:rPr>
                <w:rFonts w:asciiTheme="majorHAnsi" w:hAnsiTheme="majorHAnsi" w:cstheme="majorHAnsi"/>
                <w:szCs w:val="18"/>
                <w:lang w:val="en-US"/>
              </w:rPr>
              <w:t xml:space="preserve">will be </w:t>
            </w:r>
            <w:r w:rsidR="00A02823">
              <w:rPr>
                <w:rFonts w:asciiTheme="majorHAnsi" w:hAnsiTheme="majorHAnsi" w:cstheme="majorHAnsi"/>
                <w:szCs w:val="18"/>
                <w:lang w:val="en-US"/>
              </w:rPr>
              <w:t>entitled to receive from the</w:t>
            </w:r>
            <w:r w:rsidR="00257D0D">
              <w:rPr>
                <w:rFonts w:asciiTheme="majorHAnsi" w:hAnsiTheme="majorHAnsi" w:cstheme="majorHAnsi"/>
                <w:szCs w:val="18"/>
                <w:lang w:val="en-US"/>
              </w:rPr>
              <w:t xml:space="preserve"> </w:t>
            </w:r>
            <w:r w:rsidR="00B81F1A">
              <w:rPr>
                <w:rFonts w:asciiTheme="majorHAnsi" w:hAnsiTheme="majorHAnsi" w:cstheme="majorHAnsi"/>
                <w:szCs w:val="18"/>
                <w:lang w:val="en-US"/>
              </w:rPr>
              <w:t>contract</w:t>
            </w:r>
            <w:r w:rsidR="00F6574D">
              <w:rPr>
                <w:rFonts w:asciiTheme="majorHAnsi" w:hAnsiTheme="majorHAnsi" w:cstheme="majorHAnsi"/>
                <w:szCs w:val="18"/>
                <w:lang w:val="en-US"/>
              </w:rPr>
              <w:t xml:space="preserve"> modification</w:t>
            </w:r>
            <w:r w:rsidR="00B81F1A">
              <w:rPr>
                <w:rFonts w:asciiTheme="majorHAnsi" w:hAnsiTheme="majorHAnsi" w:cstheme="majorHAnsi"/>
                <w:szCs w:val="18"/>
                <w:lang w:val="en-US"/>
              </w:rPr>
              <w:t xml:space="preserve"> which </w:t>
            </w:r>
            <w:r w:rsidR="001577B3">
              <w:rPr>
                <w:rFonts w:asciiTheme="majorHAnsi" w:hAnsiTheme="majorHAnsi" w:cstheme="majorHAnsi"/>
                <w:szCs w:val="18"/>
                <w:lang w:val="en-US"/>
              </w:rPr>
              <w:t xml:space="preserve">prices have </w:t>
            </w:r>
            <w:r w:rsidR="00B81F1A">
              <w:rPr>
                <w:rFonts w:asciiTheme="majorHAnsi" w:hAnsiTheme="majorHAnsi" w:cstheme="majorHAnsi"/>
                <w:szCs w:val="18"/>
                <w:lang w:val="en-US"/>
              </w:rPr>
              <w:t xml:space="preserve">not yet </w:t>
            </w:r>
            <w:r w:rsidR="00712C37">
              <w:rPr>
                <w:rFonts w:asciiTheme="majorHAnsi" w:hAnsiTheme="majorHAnsi" w:cstheme="majorHAnsi"/>
                <w:szCs w:val="18"/>
                <w:lang w:val="en-US"/>
              </w:rPr>
              <w:t>been fixed</w:t>
            </w:r>
            <w:r w:rsidR="00FF3D08">
              <w:rPr>
                <w:rFonts w:asciiTheme="majorHAnsi" w:hAnsiTheme="majorHAnsi" w:cstheme="majorHAnsi"/>
                <w:szCs w:val="18"/>
                <w:lang w:val="en-US"/>
              </w:rPr>
              <w:t>.</w:t>
            </w:r>
          </w:p>
          <w:p w14:paraId="5775DC84" w14:textId="5F9987DF" w:rsidR="00EF24F4" w:rsidRDefault="00EF24F4" w:rsidP="00EF24F4">
            <w:pPr>
              <w:autoSpaceDE w:val="0"/>
              <w:autoSpaceDN w:val="0"/>
              <w:spacing w:after="0" w:line="360" w:lineRule="auto"/>
              <w:ind w:left="258"/>
              <w:jc w:val="thaiDistribute"/>
              <w:rPr>
                <w:rFonts w:asciiTheme="majorHAnsi" w:hAnsiTheme="majorHAnsi" w:cstheme="majorHAnsi"/>
                <w:szCs w:val="18"/>
                <w:lang w:val="en-US"/>
              </w:rPr>
            </w:pPr>
          </w:p>
          <w:p w14:paraId="36138833" w14:textId="6D9C852C" w:rsidR="00EF24F4" w:rsidRDefault="00EF24F4" w:rsidP="00EF24F4">
            <w:pPr>
              <w:autoSpaceDE w:val="0"/>
              <w:autoSpaceDN w:val="0"/>
              <w:spacing w:after="0" w:line="360" w:lineRule="auto"/>
              <w:ind w:left="258"/>
              <w:jc w:val="thaiDistribute"/>
              <w:rPr>
                <w:rFonts w:asciiTheme="majorHAnsi" w:hAnsiTheme="majorHAnsi" w:cstheme="majorHAnsi"/>
                <w:szCs w:val="18"/>
                <w:lang w:val="en-US"/>
              </w:rPr>
            </w:pPr>
          </w:p>
          <w:p w14:paraId="28ADEBA9" w14:textId="50BDBE92" w:rsidR="00E41502" w:rsidRDefault="00E41502" w:rsidP="00EF24F4">
            <w:pPr>
              <w:autoSpaceDE w:val="0"/>
              <w:autoSpaceDN w:val="0"/>
              <w:spacing w:after="0" w:line="360" w:lineRule="auto"/>
              <w:ind w:left="258"/>
              <w:jc w:val="thaiDistribute"/>
              <w:rPr>
                <w:rFonts w:asciiTheme="majorHAnsi" w:hAnsiTheme="majorHAnsi" w:cstheme="majorHAnsi"/>
                <w:szCs w:val="18"/>
                <w:lang w:val="en-US"/>
              </w:rPr>
            </w:pPr>
          </w:p>
          <w:p w14:paraId="1A44CFCB" w14:textId="5CE44FAC" w:rsidR="00514B59" w:rsidRDefault="00514B59" w:rsidP="00EF24F4">
            <w:pPr>
              <w:autoSpaceDE w:val="0"/>
              <w:autoSpaceDN w:val="0"/>
              <w:spacing w:after="0" w:line="360" w:lineRule="auto"/>
              <w:ind w:left="258"/>
              <w:jc w:val="thaiDistribute"/>
              <w:rPr>
                <w:rFonts w:asciiTheme="majorHAnsi" w:hAnsiTheme="majorHAnsi" w:cstheme="majorHAnsi"/>
                <w:szCs w:val="18"/>
                <w:lang w:val="en-US"/>
              </w:rPr>
            </w:pPr>
          </w:p>
          <w:p w14:paraId="3DD16AC7" w14:textId="25FA2059" w:rsidR="00514B59" w:rsidRDefault="00514B59" w:rsidP="00EF24F4">
            <w:pPr>
              <w:autoSpaceDE w:val="0"/>
              <w:autoSpaceDN w:val="0"/>
              <w:spacing w:after="0" w:line="360" w:lineRule="auto"/>
              <w:ind w:left="258"/>
              <w:jc w:val="thaiDistribute"/>
              <w:rPr>
                <w:rFonts w:asciiTheme="majorHAnsi" w:hAnsiTheme="majorHAnsi" w:cstheme="majorHAnsi"/>
                <w:szCs w:val="18"/>
                <w:lang w:val="en-US"/>
              </w:rPr>
            </w:pPr>
          </w:p>
          <w:p w14:paraId="07B7B7D3" w14:textId="2E13C3B0" w:rsidR="00514B59" w:rsidRDefault="00514B59" w:rsidP="00EF24F4">
            <w:pPr>
              <w:autoSpaceDE w:val="0"/>
              <w:autoSpaceDN w:val="0"/>
              <w:spacing w:after="0" w:line="360" w:lineRule="auto"/>
              <w:ind w:left="258"/>
              <w:jc w:val="thaiDistribute"/>
              <w:rPr>
                <w:rFonts w:asciiTheme="majorHAnsi" w:hAnsiTheme="majorHAnsi" w:cstheme="majorHAnsi"/>
                <w:szCs w:val="18"/>
                <w:lang w:val="en-US"/>
              </w:rPr>
            </w:pPr>
          </w:p>
          <w:p w14:paraId="47470CF4" w14:textId="77777777" w:rsidR="00514B59" w:rsidRDefault="00514B59" w:rsidP="00EF24F4">
            <w:pPr>
              <w:autoSpaceDE w:val="0"/>
              <w:autoSpaceDN w:val="0"/>
              <w:spacing w:after="0" w:line="360" w:lineRule="auto"/>
              <w:ind w:left="258"/>
              <w:jc w:val="thaiDistribute"/>
              <w:rPr>
                <w:rFonts w:asciiTheme="majorHAnsi" w:hAnsiTheme="majorHAnsi" w:cstheme="majorHAnsi"/>
                <w:szCs w:val="18"/>
                <w:lang w:val="en-US"/>
              </w:rPr>
            </w:pPr>
          </w:p>
          <w:p w14:paraId="08B7D88D" w14:textId="2E08E309" w:rsidR="00EF24F4" w:rsidRDefault="00EF24F4" w:rsidP="00EF24F4">
            <w:pPr>
              <w:autoSpaceDE w:val="0"/>
              <w:autoSpaceDN w:val="0"/>
              <w:spacing w:after="0" w:line="360" w:lineRule="auto"/>
              <w:ind w:left="258"/>
              <w:jc w:val="thaiDistribute"/>
              <w:rPr>
                <w:rFonts w:asciiTheme="majorHAnsi" w:hAnsiTheme="majorHAnsi" w:cstheme="majorHAnsi"/>
                <w:szCs w:val="18"/>
                <w:lang w:val="en-US"/>
              </w:rPr>
            </w:pPr>
          </w:p>
          <w:p w14:paraId="2A886214" w14:textId="3A4F09E4" w:rsidR="00EF1EAF" w:rsidRPr="00EF4E2C" w:rsidRDefault="00EF1EA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EF4E2C">
              <w:rPr>
                <w:rFonts w:asciiTheme="majorHAnsi" w:hAnsiTheme="majorHAnsi" w:cstheme="majorHAnsi"/>
                <w:szCs w:val="18"/>
                <w:lang w:val="en-US"/>
              </w:rPr>
              <w:t>Tested the</w:t>
            </w:r>
            <w:r w:rsidR="003254B8" w:rsidRPr="00EF4E2C">
              <w:rPr>
                <w:rFonts w:asciiTheme="majorHAnsi" w:hAnsiTheme="majorHAnsi" w:cstheme="majorHAnsi"/>
                <w:szCs w:val="18"/>
                <w:lang w:val="en-US"/>
              </w:rPr>
              <w:t xml:space="preserve"> bill</w:t>
            </w:r>
            <w:r w:rsidR="00EF4E2C">
              <w:rPr>
                <w:rFonts w:asciiTheme="majorHAnsi" w:hAnsiTheme="majorHAnsi" w:cstheme="majorHAnsi"/>
                <w:szCs w:val="18"/>
                <w:lang w:val="en-US"/>
              </w:rPr>
              <w:t>s</w:t>
            </w:r>
            <w:r w:rsidR="003254B8" w:rsidRPr="00EF4E2C">
              <w:rPr>
                <w:rFonts w:asciiTheme="majorHAnsi" w:hAnsiTheme="majorHAnsi" w:cstheme="majorHAnsi"/>
                <w:szCs w:val="18"/>
                <w:lang w:val="en-US"/>
              </w:rPr>
              <w:t xml:space="preserve"> for payment from </w:t>
            </w:r>
            <w:r w:rsidR="00CC46EB">
              <w:rPr>
                <w:rFonts w:asciiTheme="majorHAnsi" w:hAnsiTheme="majorHAnsi" w:cstheme="majorHAnsi"/>
                <w:szCs w:val="18"/>
                <w:lang w:val="en-US"/>
              </w:rPr>
              <w:t xml:space="preserve">client </w:t>
            </w:r>
            <w:r w:rsidRPr="00EF4E2C">
              <w:rPr>
                <w:rFonts w:asciiTheme="majorHAnsi" w:hAnsiTheme="majorHAnsi" w:cstheme="majorHAnsi"/>
                <w:szCs w:val="18"/>
                <w:lang w:val="en-US"/>
              </w:rPr>
              <w:t xml:space="preserve">during the year with construction contracts and </w:t>
            </w:r>
            <w:r w:rsidR="00CC46EB">
              <w:rPr>
                <w:rFonts w:asciiTheme="majorHAnsi" w:hAnsiTheme="majorHAnsi" w:cstheme="majorHAnsi"/>
                <w:szCs w:val="18"/>
                <w:lang w:val="en-US"/>
              </w:rPr>
              <w:t>client</w:t>
            </w:r>
            <w:r w:rsidRPr="00EF4E2C">
              <w:rPr>
                <w:rFonts w:asciiTheme="majorHAnsi" w:hAnsiTheme="majorHAnsi" w:cstheme="majorHAnsi"/>
                <w:szCs w:val="18"/>
                <w:lang w:val="en-US"/>
              </w:rPr>
              <w:t xml:space="preserve">’ acceptance documents </w:t>
            </w:r>
            <w:r w:rsidR="003254B8" w:rsidRPr="00EF4E2C">
              <w:rPr>
                <w:rFonts w:asciiTheme="majorHAnsi" w:hAnsiTheme="majorHAnsi" w:cstheme="majorHAnsi"/>
                <w:szCs w:val="18"/>
                <w:lang w:val="en-US"/>
              </w:rPr>
              <w:t>to</w:t>
            </w:r>
            <w:r w:rsidRPr="00EF4E2C">
              <w:rPr>
                <w:rFonts w:asciiTheme="majorHAnsi" w:hAnsiTheme="majorHAnsi" w:cstheme="majorHAnsi"/>
                <w:szCs w:val="18"/>
                <w:lang w:val="en-US"/>
              </w:rPr>
              <w:t xml:space="preserve"> determin</w:t>
            </w:r>
            <w:r w:rsidR="00EF4E2C">
              <w:rPr>
                <w:rFonts w:asciiTheme="majorHAnsi" w:hAnsiTheme="majorHAnsi" w:cstheme="majorHAnsi"/>
                <w:szCs w:val="18"/>
                <w:lang w:val="en-US"/>
              </w:rPr>
              <w:t>e</w:t>
            </w:r>
            <w:r w:rsidRPr="00EF4E2C">
              <w:rPr>
                <w:rFonts w:asciiTheme="majorHAnsi" w:hAnsiTheme="majorHAnsi" w:cstheme="majorHAnsi"/>
                <w:szCs w:val="18"/>
                <w:lang w:val="en-US"/>
              </w:rPr>
              <w:t xml:space="preserve"> </w:t>
            </w:r>
            <w:r w:rsidR="00EF4E2C">
              <w:rPr>
                <w:rFonts w:asciiTheme="majorHAnsi" w:hAnsiTheme="majorHAnsi" w:cstheme="majorHAnsi"/>
                <w:szCs w:val="18"/>
                <w:lang w:val="en-US"/>
              </w:rPr>
              <w:t>the</w:t>
            </w:r>
            <w:r w:rsidRPr="00EF4E2C">
              <w:rPr>
                <w:rFonts w:asciiTheme="majorHAnsi" w:hAnsiTheme="majorHAnsi" w:cstheme="majorHAnsi"/>
                <w:szCs w:val="18"/>
                <w:lang w:val="en-US"/>
              </w:rPr>
              <w:t xml:space="preserve"> appropriateness of earned revenues not yet billed and receipts </w:t>
            </w:r>
            <w:proofErr w:type="gramStart"/>
            <w:r w:rsidRPr="00EF4E2C">
              <w:rPr>
                <w:rFonts w:asciiTheme="majorHAnsi" w:hAnsiTheme="majorHAnsi" w:cstheme="majorHAnsi"/>
                <w:szCs w:val="18"/>
                <w:lang w:val="en-US"/>
              </w:rPr>
              <w:t>in excess of</w:t>
            </w:r>
            <w:proofErr w:type="gramEnd"/>
            <w:r w:rsidRPr="00EF4E2C">
              <w:rPr>
                <w:rFonts w:asciiTheme="majorHAnsi" w:hAnsiTheme="majorHAnsi" w:cstheme="majorHAnsi"/>
                <w:szCs w:val="18"/>
                <w:lang w:val="en-US"/>
              </w:rPr>
              <w:t xml:space="preserve"> contracted work in progress</w:t>
            </w:r>
            <w:r w:rsidR="003254B8" w:rsidRPr="00EF4E2C">
              <w:rPr>
                <w:rFonts w:asciiTheme="majorHAnsi" w:hAnsiTheme="majorHAnsi" w:cstheme="majorHAnsi"/>
                <w:szCs w:val="18"/>
                <w:lang w:val="en-US"/>
              </w:rPr>
              <w:t>.</w:t>
            </w:r>
          </w:p>
          <w:p w14:paraId="4D276A0A" w14:textId="3F632D87" w:rsidR="00EF1EAF" w:rsidRPr="00766BC0" w:rsidRDefault="000F60BD" w:rsidP="00A35D30">
            <w:pPr>
              <w:numPr>
                <w:ilvl w:val="0"/>
                <w:numId w:val="21"/>
              </w:numPr>
              <w:autoSpaceDE w:val="0"/>
              <w:autoSpaceDN w:val="0"/>
              <w:spacing w:after="0" w:line="360" w:lineRule="auto"/>
              <w:ind w:left="258" w:hanging="258"/>
              <w:jc w:val="both"/>
              <w:rPr>
                <w:rFonts w:asciiTheme="majorHAnsi" w:hAnsiTheme="majorHAnsi" w:cstheme="majorHAnsi"/>
                <w:szCs w:val="18"/>
                <w:lang w:val="en-US"/>
              </w:rPr>
            </w:pPr>
            <w:r w:rsidRPr="00766BC0">
              <w:rPr>
                <w:rFonts w:asciiTheme="majorHAnsi" w:hAnsiTheme="majorHAnsi" w:cstheme="majorHAnsi"/>
                <w:szCs w:val="18"/>
                <w:lang w:val="en-US"/>
              </w:rPr>
              <w:t xml:space="preserve">Sampling </w:t>
            </w:r>
            <w:r w:rsidR="00B90D2F" w:rsidRPr="00766BC0">
              <w:rPr>
                <w:rFonts w:asciiTheme="majorHAnsi" w:hAnsiTheme="majorHAnsi" w:cstheme="majorHAnsi"/>
                <w:szCs w:val="18"/>
                <w:lang w:val="en-US"/>
              </w:rPr>
              <w:t xml:space="preserve">visited </w:t>
            </w:r>
            <w:r w:rsidR="00EF1EAF" w:rsidRPr="00766BC0">
              <w:rPr>
                <w:rFonts w:asciiTheme="majorHAnsi" w:hAnsiTheme="majorHAnsi" w:cstheme="majorHAnsi"/>
                <w:szCs w:val="18"/>
                <w:lang w:val="en-US"/>
              </w:rPr>
              <w:t>site</w:t>
            </w:r>
            <w:r w:rsidR="00B90D2F" w:rsidRPr="00766BC0">
              <w:rPr>
                <w:rFonts w:asciiTheme="majorHAnsi" w:hAnsiTheme="majorHAnsi" w:cstheme="majorHAnsi"/>
                <w:szCs w:val="18"/>
                <w:lang w:val="en-US"/>
              </w:rPr>
              <w:t>s</w:t>
            </w:r>
            <w:r w:rsidR="00EF1EAF" w:rsidRPr="00766BC0">
              <w:rPr>
                <w:rFonts w:asciiTheme="majorHAnsi" w:hAnsiTheme="majorHAnsi" w:cstheme="majorHAnsi"/>
                <w:szCs w:val="18"/>
                <w:lang w:val="en-US"/>
              </w:rPr>
              <w:t xml:space="preserve"> for significant projects</w:t>
            </w:r>
            <w:r w:rsidR="00581F28" w:rsidRPr="00766BC0">
              <w:rPr>
                <w:rFonts w:asciiTheme="majorHAnsi" w:hAnsiTheme="majorHAnsi" w:cstheme="majorHAnsi"/>
                <w:szCs w:val="18"/>
                <w:lang w:val="en-US"/>
              </w:rPr>
              <w:t xml:space="preserve"> </w:t>
            </w:r>
            <w:r w:rsidR="00875877">
              <w:rPr>
                <w:rFonts w:asciiTheme="majorHAnsi" w:hAnsiTheme="majorHAnsi" w:cstheme="majorHAnsi"/>
                <w:szCs w:val="18"/>
                <w:lang w:val="en-US"/>
              </w:rPr>
              <w:t>to</w:t>
            </w:r>
            <w:r w:rsidR="00EF1EAF" w:rsidRPr="00766BC0">
              <w:rPr>
                <w:rFonts w:asciiTheme="majorHAnsi" w:hAnsiTheme="majorHAnsi" w:cstheme="majorHAnsi"/>
                <w:szCs w:val="18"/>
                <w:lang w:val="en-US"/>
              </w:rPr>
              <w:t xml:space="preserve"> </w:t>
            </w:r>
            <w:r w:rsidR="00F160D9" w:rsidRPr="00766BC0">
              <w:rPr>
                <w:rFonts w:asciiTheme="majorHAnsi" w:hAnsiTheme="majorHAnsi" w:cstheme="majorHAnsi"/>
                <w:szCs w:val="18"/>
                <w:lang w:val="en-US"/>
              </w:rPr>
              <w:t xml:space="preserve">obtain understanding of </w:t>
            </w:r>
            <w:r w:rsidR="00EF1EAF" w:rsidRPr="00766BC0">
              <w:rPr>
                <w:rFonts w:asciiTheme="majorHAnsi" w:hAnsiTheme="majorHAnsi" w:cstheme="majorHAnsi"/>
                <w:szCs w:val="18"/>
                <w:lang w:val="en-US"/>
              </w:rPr>
              <w:t>the progress of projects</w:t>
            </w:r>
            <w:r w:rsidR="0037351F" w:rsidRPr="00766BC0">
              <w:rPr>
                <w:rFonts w:asciiTheme="majorHAnsi" w:hAnsiTheme="majorHAnsi" w:cstheme="majorHAnsi"/>
                <w:szCs w:val="18"/>
                <w:lang w:val="en-US"/>
              </w:rPr>
              <w:t xml:space="preserve"> work by </w:t>
            </w:r>
            <w:r w:rsidR="00E97095" w:rsidRPr="00766BC0">
              <w:rPr>
                <w:rFonts w:asciiTheme="majorHAnsi" w:hAnsiTheme="majorHAnsi" w:cstheme="majorHAnsi"/>
                <w:szCs w:val="18"/>
                <w:lang w:val="en-US"/>
              </w:rPr>
              <w:t xml:space="preserve">discussion with </w:t>
            </w:r>
            <w:r w:rsidR="00695B13" w:rsidRPr="00766BC0">
              <w:rPr>
                <w:rFonts w:asciiTheme="majorHAnsi" w:hAnsiTheme="majorHAnsi" w:cstheme="majorHAnsi"/>
                <w:szCs w:val="18"/>
                <w:lang w:val="en-US"/>
              </w:rPr>
              <w:t xml:space="preserve">responsible </w:t>
            </w:r>
            <w:r w:rsidR="00EF1EAF" w:rsidRPr="00766BC0">
              <w:rPr>
                <w:rFonts w:asciiTheme="majorHAnsi" w:hAnsiTheme="majorHAnsi" w:cstheme="majorHAnsi"/>
                <w:szCs w:val="18"/>
                <w:lang w:val="en-US"/>
              </w:rPr>
              <w:t xml:space="preserve">engineers and compared the percentages of </w:t>
            </w:r>
            <w:r w:rsidR="001114C5" w:rsidRPr="00766BC0">
              <w:rPr>
                <w:rFonts w:asciiTheme="majorHAnsi" w:hAnsiTheme="majorHAnsi" w:cstheme="majorHAnsi"/>
                <w:szCs w:val="18"/>
                <w:lang w:val="en-US"/>
              </w:rPr>
              <w:t xml:space="preserve">physical </w:t>
            </w:r>
            <w:r w:rsidR="00EF1EAF" w:rsidRPr="00766BC0">
              <w:rPr>
                <w:rFonts w:asciiTheme="majorHAnsi" w:hAnsiTheme="majorHAnsi" w:cstheme="majorHAnsi"/>
                <w:szCs w:val="18"/>
                <w:lang w:val="en-US"/>
              </w:rPr>
              <w:t>completion of construction</w:t>
            </w:r>
            <w:r w:rsidR="00913F52" w:rsidRPr="00766BC0">
              <w:rPr>
                <w:rFonts w:asciiTheme="majorHAnsi" w:hAnsiTheme="majorHAnsi" w:cstheme="majorHAnsi"/>
                <w:szCs w:val="18"/>
                <w:lang w:val="en-US"/>
              </w:rPr>
              <w:t xml:space="preserve"> as determined </w:t>
            </w:r>
            <w:r w:rsidR="00AA3455" w:rsidRPr="00766BC0">
              <w:rPr>
                <w:rFonts w:asciiTheme="majorHAnsi" w:hAnsiTheme="majorHAnsi" w:cstheme="majorHAnsi"/>
                <w:szCs w:val="18"/>
                <w:lang w:val="en-US"/>
              </w:rPr>
              <w:t xml:space="preserve">by engineers </w:t>
            </w:r>
            <w:r w:rsidR="00EF1EAF" w:rsidRPr="00766BC0">
              <w:rPr>
                <w:rFonts w:asciiTheme="majorHAnsi" w:hAnsiTheme="majorHAnsi" w:cstheme="majorHAnsi"/>
                <w:szCs w:val="18"/>
                <w:lang w:val="en-US"/>
              </w:rPr>
              <w:t>with percentage</w:t>
            </w:r>
            <w:r w:rsidR="00EF4E2C" w:rsidRPr="00766BC0">
              <w:rPr>
                <w:rFonts w:asciiTheme="majorHAnsi" w:hAnsiTheme="majorHAnsi" w:cstheme="majorHAnsi"/>
                <w:szCs w:val="18"/>
                <w:lang w:val="en-US"/>
              </w:rPr>
              <w:t>s</w:t>
            </w:r>
            <w:r w:rsidR="00EF1EAF" w:rsidRPr="00766BC0">
              <w:rPr>
                <w:rFonts w:asciiTheme="majorHAnsi" w:hAnsiTheme="majorHAnsi" w:cstheme="majorHAnsi"/>
                <w:szCs w:val="18"/>
                <w:lang w:val="en-US"/>
              </w:rPr>
              <w:t xml:space="preserve"> of completion</w:t>
            </w:r>
            <w:r w:rsidR="007046F2" w:rsidRPr="00766BC0">
              <w:rPr>
                <w:rFonts w:asciiTheme="majorHAnsi" w:hAnsiTheme="majorHAnsi" w:cstheme="majorHAnsi"/>
                <w:szCs w:val="18"/>
                <w:lang w:val="en-US"/>
              </w:rPr>
              <w:t xml:space="preserve"> based on accounting method</w:t>
            </w:r>
            <w:r w:rsidR="005E21F6" w:rsidRPr="00766BC0">
              <w:rPr>
                <w:rFonts w:asciiTheme="majorHAnsi" w:hAnsiTheme="majorHAnsi" w:cstheme="majorHAnsi"/>
                <w:szCs w:val="18"/>
                <w:lang w:val="en-US"/>
              </w:rPr>
              <w:t xml:space="preserve"> to ensure that the revenues and costs recognition are made corresponding</w:t>
            </w:r>
            <w:r w:rsidR="00E6175F" w:rsidRPr="00766BC0">
              <w:rPr>
                <w:rFonts w:asciiTheme="majorHAnsi" w:hAnsiTheme="majorHAnsi" w:cstheme="majorHAnsi"/>
                <w:szCs w:val="18"/>
                <w:lang w:val="en-US"/>
              </w:rPr>
              <w:t>ly</w:t>
            </w:r>
            <w:r w:rsidR="007046F2" w:rsidRPr="00766BC0">
              <w:rPr>
                <w:rFonts w:asciiTheme="majorHAnsi" w:hAnsiTheme="majorHAnsi" w:cstheme="majorHAnsi"/>
                <w:szCs w:val="18"/>
                <w:lang w:val="en-US"/>
              </w:rPr>
              <w:t>.</w:t>
            </w:r>
          </w:p>
          <w:p w14:paraId="226DB953" w14:textId="60F6ED98" w:rsidR="006E660F" w:rsidRPr="00F6773E" w:rsidRDefault="00EF1EAF" w:rsidP="002B4B25">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Assessed the adequacy</w:t>
            </w:r>
            <w:r w:rsidR="001F2093" w:rsidRPr="00766BC0">
              <w:rPr>
                <w:rFonts w:asciiTheme="majorHAnsi" w:hAnsiTheme="majorHAnsi" w:cstheme="majorHAnsi" w:hint="cs"/>
                <w:szCs w:val="18"/>
                <w:cs/>
                <w:lang w:val="en-US" w:bidi="th-TH"/>
              </w:rPr>
              <w:t xml:space="preserve"> </w:t>
            </w:r>
            <w:r w:rsidRPr="0032246D">
              <w:rPr>
                <w:rFonts w:asciiTheme="majorHAnsi" w:hAnsiTheme="majorHAnsi" w:cstheme="majorHAnsi"/>
                <w:szCs w:val="18"/>
                <w:lang w:val="en-US"/>
              </w:rPr>
              <w:t>of the Group’s and the Company’s disclosure for revenue</w:t>
            </w:r>
            <w:r w:rsidR="00EF4E2C">
              <w:rPr>
                <w:rFonts w:asciiTheme="majorHAnsi" w:hAnsiTheme="majorHAnsi" w:cstheme="majorHAnsi"/>
                <w:szCs w:val="18"/>
                <w:lang w:val="en-US"/>
              </w:rPr>
              <w:t>s</w:t>
            </w:r>
            <w:r w:rsidR="00071E9E">
              <w:rPr>
                <w:rFonts w:asciiTheme="majorHAnsi" w:hAnsiTheme="majorHAnsi" w:cstheme="majorHAnsi"/>
                <w:szCs w:val="18"/>
                <w:lang w:val="en-US"/>
              </w:rPr>
              <w:t xml:space="preserve"> from construction service</w:t>
            </w:r>
            <w:r w:rsidRPr="0032246D">
              <w:rPr>
                <w:rFonts w:asciiTheme="majorHAnsi" w:hAnsiTheme="majorHAnsi" w:cstheme="majorHAnsi"/>
                <w:szCs w:val="18"/>
                <w:lang w:val="en-US"/>
              </w:rPr>
              <w:t xml:space="preserve"> recognition</w:t>
            </w:r>
            <w:r w:rsidR="00881170">
              <w:rPr>
                <w:rFonts w:asciiTheme="majorHAnsi" w:hAnsiTheme="majorHAnsi" w:cstheme="majorHAnsi"/>
                <w:szCs w:val="18"/>
                <w:lang w:val="en-US"/>
              </w:rPr>
              <w:t>.</w:t>
            </w:r>
          </w:p>
        </w:tc>
      </w:tr>
      <w:tr w:rsidR="00EF1EAF" w:rsidRPr="0032246D" w14:paraId="3564EC10" w14:textId="77777777" w:rsidTr="00EF1EAF">
        <w:tc>
          <w:tcPr>
            <w:tcW w:w="4106" w:type="dxa"/>
            <w:tcBorders>
              <w:top w:val="single" w:sz="4" w:space="0" w:color="auto"/>
              <w:bottom w:val="single" w:sz="4" w:space="0" w:color="auto"/>
            </w:tcBorders>
            <w:shd w:val="clear" w:color="auto" w:fill="auto"/>
          </w:tcPr>
          <w:p w14:paraId="253A4887" w14:textId="77777777" w:rsidR="00881170" w:rsidRDefault="00881170" w:rsidP="00881170">
            <w:pPr>
              <w:autoSpaceDE w:val="0"/>
              <w:autoSpaceDN w:val="0"/>
              <w:spacing w:after="0" w:line="360" w:lineRule="auto"/>
              <w:ind w:left="258"/>
              <w:jc w:val="thaiDistribute"/>
              <w:rPr>
                <w:rFonts w:asciiTheme="majorHAnsi" w:hAnsiTheme="majorHAnsi" w:cstheme="majorHAnsi"/>
                <w:b/>
                <w:bCs/>
                <w:szCs w:val="18"/>
                <w:lang w:val="en-US"/>
              </w:rPr>
            </w:pPr>
          </w:p>
          <w:p w14:paraId="42EB8407" w14:textId="7B7514A5" w:rsidR="00B73B27" w:rsidRPr="007871AE" w:rsidRDefault="00EF1EAF" w:rsidP="007871AE">
            <w:pPr>
              <w:autoSpaceDE w:val="0"/>
              <w:autoSpaceDN w:val="0"/>
              <w:adjustRightInd w:val="0"/>
              <w:spacing w:line="360" w:lineRule="auto"/>
              <w:jc w:val="both"/>
              <w:rPr>
                <w:rFonts w:asciiTheme="majorHAnsi" w:hAnsiTheme="majorHAnsi" w:cstheme="majorHAnsi"/>
                <w:b/>
                <w:bCs/>
                <w:szCs w:val="18"/>
                <w:lang w:val="en-US"/>
              </w:rPr>
            </w:pPr>
            <w:r w:rsidRPr="006567A8">
              <w:rPr>
                <w:rFonts w:asciiTheme="majorHAnsi" w:hAnsiTheme="majorHAnsi" w:cstheme="majorHAnsi"/>
                <w:b/>
                <w:bCs/>
                <w:szCs w:val="18"/>
                <w:lang w:val="en-US"/>
              </w:rPr>
              <w:t xml:space="preserve">Impairment </w:t>
            </w:r>
            <w:r w:rsidR="00601A63">
              <w:rPr>
                <w:rFonts w:asciiTheme="majorHAnsi" w:hAnsiTheme="majorHAnsi" w:cstheme="majorHAnsi"/>
                <w:b/>
                <w:bCs/>
                <w:szCs w:val="18"/>
                <w:lang w:val="en-US"/>
              </w:rPr>
              <w:t xml:space="preserve">loss </w:t>
            </w:r>
            <w:r w:rsidRPr="006567A8">
              <w:rPr>
                <w:rFonts w:asciiTheme="majorHAnsi" w:hAnsiTheme="majorHAnsi" w:cstheme="majorHAnsi"/>
                <w:b/>
                <w:bCs/>
                <w:szCs w:val="18"/>
                <w:lang w:val="en-US"/>
              </w:rPr>
              <w:t>of trade</w:t>
            </w:r>
            <w:r w:rsidR="00F44CD5">
              <w:rPr>
                <w:rFonts w:asciiTheme="majorHAnsi" w:hAnsiTheme="majorHAnsi" w:cstheme="majorHAnsi"/>
                <w:b/>
                <w:bCs/>
                <w:szCs w:val="18"/>
                <w:lang w:val="en-US"/>
              </w:rPr>
              <w:t xml:space="preserve"> and other</w:t>
            </w:r>
            <w:r w:rsidRPr="006567A8">
              <w:rPr>
                <w:rFonts w:asciiTheme="majorHAnsi" w:hAnsiTheme="majorHAnsi" w:cstheme="majorHAnsi"/>
                <w:b/>
                <w:bCs/>
                <w:szCs w:val="18"/>
                <w:lang w:val="en-US"/>
              </w:rPr>
              <w:t xml:space="preserve"> accounts receivable </w:t>
            </w:r>
          </w:p>
          <w:p w14:paraId="42C03E93" w14:textId="4791F89C" w:rsidR="00363FCA" w:rsidRDefault="00AA5C51" w:rsidP="007F78BC">
            <w:pPr>
              <w:tabs>
                <w:tab w:val="left" w:pos="450"/>
                <w:tab w:val="left" w:pos="540"/>
              </w:tabs>
              <w:spacing w:line="360" w:lineRule="auto"/>
              <w:jc w:val="thaiDistribute"/>
              <w:rPr>
                <w:rFonts w:asciiTheme="majorHAnsi" w:hAnsiTheme="majorHAnsi" w:cstheme="majorHAnsi"/>
                <w:szCs w:val="18"/>
                <w:lang w:val="en-US"/>
              </w:rPr>
            </w:pPr>
            <w:r>
              <w:rPr>
                <w:rFonts w:asciiTheme="majorHAnsi" w:hAnsiTheme="majorHAnsi" w:cstheme="majorHAnsi"/>
                <w:szCs w:val="18"/>
                <w:lang w:val="en-US"/>
              </w:rPr>
              <w:t xml:space="preserve">As </w:t>
            </w:r>
            <w:proofErr w:type="gramStart"/>
            <w:r>
              <w:rPr>
                <w:rFonts w:asciiTheme="majorHAnsi" w:hAnsiTheme="majorHAnsi" w:cstheme="majorHAnsi"/>
                <w:szCs w:val="18"/>
                <w:lang w:val="en-US"/>
              </w:rPr>
              <w:t>at</w:t>
            </w:r>
            <w:proofErr w:type="gramEnd"/>
            <w:r>
              <w:rPr>
                <w:rFonts w:asciiTheme="majorHAnsi" w:hAnsiTheme="majorHAnsi" w:cstheme="majorHAnsi"/>
                <w:szCs w:val="18"/>
                <w:lang w:val="en-US"/>
              </w:rPr>
              <w:t xml:space="preserve"> 31 December 2020, t</w:t>
            </w:r>
            <w:r w:rsidR="00EF1EAF" w:rsidRPr="006567A8">
              <w:rPr>
                <w:rFonts w:asciiTheme="majorHAnsi" w:hAnsiTheme="majorHAnsi" w:cstheme="majorHAnsi"/>
                <w:szCs w:val="18"/>
                <w:lang w:val="en-US"/>
              </w:rPr>
              <w:t>he Group and the Company have trade</w:t>
            </w:r>
            <w:r w:rsidR="009159A0">
              <w:rPr>
                <w:rFonts w:asciiTheme="majorHAnsi" w:hAnsiTheme="majorHAnsi" w:cstheme="majorHAnsi"/>
                <w:szCs w:val="18"/>
                <w:lang w:val="en-US"/>
              </w:rPr>
              <w:t xml:space="preserve"> and others</w:t>
            </w:r>
            <w:r w:rsidR="00EF1EAF" w:rsidRPr="006567A8">
              <w:rPr>
                <w:rFonts w:asciiTheme="majorHAnsi" w:hAnsiTheme="majorHAnsi" w:cstheme="majorHAnsi"/>
                <w:szCs w:val="18"/>
                <w:lang w:val="en-US"/>
              </w:rPr>
              <w:t xml:space="preserve"> accounts receivable</w:t>
            </w:r>
            <w:r w:rsidR="00071E9E">
              <w:rPr>
                <w:rFonts w:asciiTheme="majorHAnsi" w:hAnsiTheme="majorHAnsi" w:cstheme="majorHAnsi"/>
                <w:szCs w:val="18"/>
                <w:lang w:val="en-US"/>
              </w:rPr>
              <w:t xml:space="preserve"> </w:t>
            </w:r>
            <w:r w:rsidR="00507D85">
              <w:rPr>
                <w:rFonts w:asciiTheme="majorHAnsi" w:hAnsiTheme="majorHAnsi" w:cstheme="majorHAnsi"/>
                <w:szCs w:val="18"/>
                <w:lang w:val="en-US"/>
              </w:rPr>
              <w:t xml:space="preserve">net of allowance for </w:t>
            </w:r>
            <w:r>
              <w:rPr>
                <w:rFonts w:asciiTheme="majorHAnsi" w:hAnsiTheme="majorHAnsi" w:cstheme="majorHAnsi"/>
                <w:szCs w:val="18"/>
                <w:lang w:val="en-US"/>
              </w:rPr>
              <w:t xml:space="preserve">impairment </w:t>
            </w:r>
            <w:r w:rsidR="003C3EE8">
              <w:rPr>
                <w:rFonts w:asciiTheme="majorHAnsi" w:hAnsiTheme="majorHAnsi" w:cstheme="majorHAnsi"/>
                <w:szCs w:val="18"/>
                <w:lang w:val="en-US"/>
              </w:rPr>
              <w:t>loss</w:t>
            </w:r>
            <w:r w:rsidR="00507D85">
              <w:rPr>
                <w:rFonts w:asciiTheme="majorHAnsi" w:hAnsiTheme="majorHAnsi" w:cstheme="majorHAnsi"/>
                <w:szCs w:val="18"/>
                <w:lang w:val="en-US"/>
              </w:rPr>
              <w:t xml:space="preserve"> </w:t>
            </w:r>
            <w:r w:rsidR="00EF1EAF" w:rsidRPr="006567A8">
              <w:rPr>
                <w:rFonts w:asciiTheme="majorHAnsi" w:hAnsiTheme="majorHAnsi" w:cstheme="majorHAnsi"/>
                <w:szCs w:val="18"/>
                <w:lang w:val="en-US"/>
              </w:rPr>
              <w:t xml:space="preserve">of </w:t>
            </w:r>
            <w:r w:rsidR="00EF1EAF" w:rsidRPr="00DE475E">
              <w:rPr>
                <w:rFonts w:asciiTheme="majorHAnsi" w:hAnsiTheme="majorHAnsi" w:cstheme="majorHAnsi"/>
                <w:spacing w:val="-6"/>
                <w:szCs w:val="18"/>
                <w:lang w:val="en-US"/>
              </w:rPr>
              <w:t>Baht</w:t>
            </w:r>
            <w:r w:rsidR="003A579E" w:rsidRPr="00DE475E">
              <w:rPr>
                <w:rFonts w:asciiTheme="majorHAnsi" w:hAnsiTheme="majorHAnsi" w:cstheme="majorHAnsi"/>
                <w:spacing w:val="-6"/>
                <w:szCs w:val="18"/>
                <w:lang w:val="en-US"/>
              </w:rPr>
              <w:t xml:space="preserve"> </w:t>
            </w:r>
            <w:r w:rsidR="00436F14">
              <w:rPr>
                <w:rFonts w:asciiTheme="majorHAnsi" w:hAnsiTheme="majorHAnsi" w:cstheme="majorHAnsi"/>
                <w:spacing w:val="-6"/>
                <w:szCs w:val="18"/>
                <w:lang w:val="en-US"/>
              </w:rPr>
              <w:t>12,187.12</w:t>
            </w:r>
            <w:r w:rsidR="00EF1EAF" w:rsidRPr="00DE475E">
              <w:rPr>
                <w:rFonts w:asciiTheme="majorHAnsi" w:hAnsiTheme="majorHAnsi" w:cstheme="majorHAnsi"/>
                <w:spacing w:val="-6"/>
                <w:szCs w:val="18"/>
                <w:lang w:val="en-US"/>
              </w:rPr>
              <w:t xml:space="preserve"> million and Baht</w:t>
            </w:r>
            <w:r w:rsidR="00B82F34" w:rsidRPr="00DE475E">
              <w:rPr>
                <w:rFonts w:asciiTheme="majorHAnsi" w:hAnsiTheme="majorHAnsi" w:cstheme="majorHAnsi"/>
                <w:spacing w:val="-6"/>
                <w:szCs w:val="18"/>
                <w:lang w:val="en-US"/>
              </w:rPr>
              <w:t xml:space="preserve"> </w:t>
            </w:r>
            <w:r w:rsidR="00436F14">
              <w:rPr>
                <w:rFonts w:asciiTheme="majorHAnsi" w:hAnsiTheme="majorHAnsi" w:cstheme="majorHAnsi"/>
                <w:spacing w:val="-6"/>
                <w:szCs w:val="18"/>
                <w:lang w:val="en-US"/>
              </w:rPr>
              <w:t>12,468.</w:t>
            </w:r>
            <w:r w:rsidR="002F61D5">
              <w:rPr>
                <w:rFonts w:asciiTheme="majorHAnsi" w:hAnsiTheme="majorHAnsi" w:cstheme="majorHAnsi"/>
                <w:spacing w:val="-6"/>
                <w:szCs w:val="18"/>
                <w:lang w:val="en-US"/>
              </w:rPr>
              <w:t>47</w:t>
            </w:r>
            <w:r w:rsidR="00EF1EAF" w:rsidRPr="00DE475E">
              <w:rPr>
                <w:rFonts w:asciiTheme="majorHAnsi" w:hAnsiTheme="majorHAnsi" w:cstheme="majorHAnsi"/>
                <w:spacing w:val="-6"/>
                <w:szCs w:val="18"/>
                <w:lang w:val="en-US"/>
              </w:rPr>
              <w:t xml:space="preserve"> million,</w:t>
            </w:r>
            <w:r w:rsidR="00EF1EAF" w:rsidRPr="006567A8">
              <w:rPr>
                <w:rFonts w:asciiTheme="majorHAnsi" w:hAnsiTheme="majorHAnsi" w:cstheme="majorHAnsi"/>
                <w:szCs w:val="18"/>
                <w:lang w:val="en-US"/>
              </w:rPr>
              <w:t xml:space="preserve"> respectively. </w:t>
            </w:r>
            <w:r w:rsidR="004216F1">
              <w:rPr>
                <w:rFonts w:asciiTheme="majorHAnsi" w:hAnsiTheme="majorHAnsi" w:cstheme="majorHAnsi"/>
                <w:szCs w:val="18"/>
                <w:lang w:val="en-US"/>
              </w:rPr>
              <w:t xml:space="preserve">The Group and the Company </w:t>
            </w:r>
            <w:r w:rsidR="00EF1EAF" w:rsidRPr="006567A8">
              <w:rPr>
                <w:rFonts w:asciiTheme="majorHAnsi" w:hAnsiTheme="majorHAnsi" w:cstheme="majorHAnsi"/>
                <w:szCs w:val="18"/>
                <w:lang w:val="en-US"/>
              </w:rPr>
              <w:t>recognized allowance for</w:t>
            </w:r>
            <w:r w:rsidR="002F61D5">
              <w:rPr>
                <w:rFonts w:asciiTheme="majorHAnsi" w:hAnsiTheme="majorHAnsi" w:cstheme="majorHAnsi"/>
                <w:szCs w:val="18"/>
                <w:lang w:val="en-US"/>
              </w:rPr>
              <w:t xml:space="preserve"> impairment loss</w:t>
            </w:r>
            <w:r w:rsidR="00EF1EAF" w:rsidRPr="006567A8">
              <w:rPr>
                <w:rFonts w:asciiTheme="majorHAnsi" w:hAnsiTheme="majorHAnsi" w:cstheme="majorHAnsi"/>
                <w:szCs w:val="18"/>
                <w:lang w:val="en-US"/>
              </w:rPr>
              <w:t xml:space="preserve"> </w:t>
            </w:r>
            <w:r w:rsidR="003256DB">
              <w:rPr>
                <w:rFonts w:asciiTheme="majorHAnsi" w:hAnsiTheme="majorHAnsi" w:cstheme="majorHAnsi"/>
                <w:szCs w:val="18"/>
                <w:lang w:val="en-US"/>
              </w:rPr>
              <w:t xml:space="preserve">during the year </w:t>
            </w:r>
            <w:r w:rsidR="00EF1EAF" w:rsidRPr="006567A8">
              <w:rPr>
                <w:rFonts w:asciiTheme="majorHAnsi" w:hAnsiTheme="majorHAnsi" w:cstheme="majorHAnsi"/>
                <w:szCs w:val="18"/>
                <w:lang w:val="en-US"/>
              </w:rPr>
              <w:t xml:space="preserve">of Baht </w:t>
            </w:r>
            <w:r w:rsidR="007E1413">
              <w:rPr>
                <w:rFonts w:asciiTheme="majorHAnsi" w:hAnsiTheme="majorHAnsi" w:cstheme="majorHAnsi"/>
                <w:szCs w:val="18"/>
                <w:lang w:val="en-US"/>
              </w:rPr>
              <w:t>199.75</w:t>
            </w:r>
            <w:r w:rsidR="00EF1EAF" w:rsidRPr="006567A8">
              <w:rPr>
                <w:rFonts w:asciiTheme="majorHAnsi" w:hAnsiTheme="majorHAnsi" w:cstheme="majorHAnsi"/>
                <w:szCs w:val="18"/>
                <w:lang w:val="en-US"/>
              </w:rPr>
              <w:t xml:space="preserve"> million and </w:t>
            </w:r>
            <w:r w:rsidR="007E1413">
              <w:rPr>
                <w:rFonts w:asciiTheme="majorHAnsi" w:hAnsiTheme="majorHAnsi" w:cstheme="majorHAnsi"/>
                <w:szCs w:val="18"/>
                <w:lang w:val="en-US"/>
              </w:rPr>
              <w:t xml:space="preserve">reversal of allowance for impairment loss of </w:t>
            </w:r>
            <w:r w:rsidR="00EF1EAF" w:rsidRPr="006567A8">
              <w:rPr>
                <w:rFonts w:asciiTheme="majorHAnsi" w:hAnsiTheme="majorHAnsi" w:cstheme="majorHAnsi"/>
                <w:szCs w:val="18"/>
                <w:lang w:val="en-US"/>
              </w:rPr>
              <w:t>Baht</w:t>
            </w:r>
            <w:r w:rsidR="007E1413">
              <w:rPr>
                <w:rFonts w:asciiTheme="majorHAnsi" w:hAnsiTheme="majorHAnsi" w:cstheme="majorHAnsi"/>
                <w:szCs w:val="18"/>
                <w:lang w:val="en-US"/>
              </w:rPr>
              <w:t xml:space="preserve"> 49.</w:t>
            </w:r>
            <w:r w:rsidR="00327649">
              <w:rPr>
                <w:rFonts w:asciiTheme="majorHAnsi" w:hAnsiTheme="majorHAnsi" w:cstheme="majorHAnsi"/>
                <w:szCs w:val="18"/>
                <w:lang w:val="en-US"/>
              </w:rPr>
              <w:t>79</w:t>
            </w:r>
            <w:r w:rsidR="00EF1EAF" w:rsidRPr="006567A8">
              <w:rPr>
                <w:rFonts w:asciiTheme="majorHAnsi" w:hAnsiTheme="majorHAnsi" w:cstheme="majorHAnsi"/>
                <w:szCs w:val="18"/>
                <w:lang w:val="en-US"/>
              </w:rPr>
              <w:t xml:space="preserve"> million, respectively.</w:t>
            </w:r>
          </w:p>
          <w:p w14:paraId="2CB23FB4" w14:textId="2CC9D0B0" w:rsidR="00363FCA" w:rsidRDefault="00363FCA" w:rsidP="007F78BC">
            <w:pPr>
              <w:tabs>
                <w:tab w:val="left" w:pos="450"/>
                <w:tab w:val="left" w:pos="540"/>
              </w:tabs>
              <w:spacing w:line="360" w:lineRule="auto"/>
              <w:jc w:val="thaiDistribute"/>
              <w:rPr>
                <w:rFonts w:asciiTheme="majorHAnsi" w:hAnsiTheme="majorHAnsi" w:cstheme="majorHAnsi"/>
                <w:szCs w:val="18"/>
                <w:lang w:val="en-US"/>
              </w:rPr>
            </w:pPr>
          </w:p>
          <w:p w14:paraId="5557BA31" w14:textId="218EC3DE" w:rsidR="006E660F" w:rsidRDefault="006E660F" w:rsidP="007F78BC">
            <w:pPr>
              <w:tabs>
                <w:tab w:val="left" w:pos="450"/>
                <w:tab w:val="left" w:pos="540"/>
              </w:tabs>
              <w:spacing w:line="360" w:lineRule="auto"/>
              <w:jc w:val="thaiDistribute"/>
              <w:rPr>
                <w:rFonts w:asciiTheme="majorHAnsi" w:hAnsiTheme="majorHAnsi" w:cstheme="majorHAnsi"/>
                <w:szCs w:val="18"/>
                <w:lang w:val="en-US"/>
              </w:rPr>
            </w:pPr>
          </w:p>
          <w:p w14:paraId="7CFCDBDC" w14:textId="0B8B7A51" w:rsidR="006E660F" w:rsidRDefault="006E660F" w:rsidP="007F78BC">
            <w:pPr>
              <w:tabs>
                <w:tab w:val="left" w:pos="450"/>
                <w:tab w:val="left" w:pos="540"/>
              </w:tabs>
              <w:spacing w:line="360" w:lineRule="auto"/>
              <w:jc w:val="thaiDistribute"/>
              <w:rPr>
                <w:rFonts w:asciiTheme="majorHAnsi" w:hAnsiTheme="majorHAnsi" w:cstheme="majorHAnsi"/>
                <w:szCs w:val="18"/>
                <w:lang w:val="en-US"/>
              </w:rPr>
            </w:pPr>
          </w:p>
          <w:p w14:paraId="00E01E6A" w14:textId="30FB89B2" w:rsidR="006E660F" w:rsidRDefault="006E660F" w:rsidP="007F78BC">
            <w:pPr>
              <w:tabs>
                <w:tab w:val="left" w:pos="450"/>
                <w:tab w:val="left" w:pos="540"/>
              </w:tabs>
              <w:spacing w:line="360" w:lineRule="auto"/>
              <w:jc w:val="thaiDistribute"/>
              <w:rPr>
                <w:rFonts w:asciiTheme="majorHAnsi" w:hAnsiTheme="majorHAnsi" w:cstheme="majorHAnsi"/>
                <w:szCs w:val="18"/>
                <w:lang w:val="en-US"/>
              </w:rPr>
            </w:pPr>
          </w:p>
          <w:p w14:paraId="3CDE4C8E" w14:textId="372BAF3A" w:rsidR="006E660F" w:rsidRDefault="006E660F" w:rsidP="007F78BC">
            <w:pPr>
              <w:tabs>
                <w:tab w:val="left" w:pos="450"/>
                <w:tab w:val="left" w:pos="540"/>
              </w:tabs>
              <w:spacing w:line="360" w:lineRule="auto"/>
              <w:jc w:val="thaiDistribute"/>
              <w:rPr>
                <w:rFonts w:asciiTheme="majorHAnsi" w:hAnsiTheme="majorHAnsi" w:cstheme="majorHAnsi"/>
                <w:szCs w:val="18"/>
                <w:lang w:val="en-US"/>
              </w:rPr>
            </w:pPr>
          </w:p>
          <w:p w14:paraId="21EE18BE" w14:textId="0BC8DA90" w:rsidR="006E660F" w:rsidRDefault="006E660F" w:rsidP="007F78BC">
            <w:pPr>
              <w:tabs>
                <w:tab w:val="left" w:pos="450"/>
                <w:tab w:val="left" w:pos="540"/>
              </w:tabs>
              <w:spacing w:line="360" w:lineRule="auto"/>
              <w:jc w:val="thaiDistribute"/>
              <w:rPr>
                <w:rFonts w:asciiTheme="majorHAnsi" w:hAnsiTheme="majorHAnsi" w:cstheme="majorHAnsi"/>
                <w:szCs w:val="18"/>
                <w:lang w:val="en-US"/>
              </w:rPr>
            </w:pPr>
          </w:p>
          <w:p w14:paraId="33758BB2" w14:textId="3F7D0D25" w:rsidR="00514B59" w:rsidRDefault="00514B59" w:rsidP="007F78BC">
            <w:pPr>
              <w:tabs>
                <w:tab w:val="left" w:pos="450"/>
                <w:tab w:val="left" w:pos="540"/>
              </w:tabs>
              <w:spacing w:line="360" w:lineRule="auto"/>
              <w:jc w:val="thaiDistribute"/>
              <w:rPr>
                <w:rFonts w:asciiTheme="majorHAnsi" w:hAnsiTheme="majorHAnsi" w:cstheme="majorHAnsi"/>
                <w:szCs w:val="18"/>
                <w:lang w:val="en-US"/>
              </w:rPr>
            </w:pPr>
          </w:p>
          <w:p w14:paraId="3B6E2A58" w14:textId="0C5B4D03" w:rsidR="00514B59" w:rsidRDefault="00514B59" w:rsidP="007F78BC">
            <w:pPr>
              <w:tabs>
                <w:tab w:val="left" w:pos="450"/>
                <w:tab w:val="left" w:pos="540"/>
              </w:tabs>
              <w:spacing w:line="360" w:lineRule="auto"/>
              <w:jc w:val="thaiDistribute"/>
              <w:rPr>
                <w:rFonts w:asciiTheme="majorHAnsi" w:hAnsiTheme="majorHAnsi" w:cstheme="majorHAnsi"/>
                <w:szCs w:val="18"/>
                <w:lang w:val="en-US"/>
              </w:rPr>
            </w:pPr>
          </w:p>
          <w:p w14:paraId="25A613CE" w14:textId="77777777" w:rsidR="00514B59" w:rsidRDefault="00514B59" w:rsidP="007F78BC">
            <w:pPr>
              <w:tabs>
                <w:tab w:val="left" w:pos="450"/>
                <w:tab w:val="left" w:pos="540"/>
              </w:tabs>
              <w:spacing w:line="360" w:lineRule="auto"/>
              <w:jc w:val="thaiDistribute"/>
              <w:rPr>
                <w:rFonts w:asciiTheme="majorHAnsi" w:hAnsiTheme="majorHAnsi" w:cstheme="majorHAnsi"/>
                <w:szCs w:val="18"/>
                <w:lang w:val="en-US"/>
              </w:rPr>
            </w:pPr>
          </w:p>
          <w:p w14:paraId="32FD3BCC" w14:textId="77777777" w:rsidR="00DA4225" w:rsidRDefault="00DA4225" w:rsidP="00FE5FC0">
            <w:pPr>
              <w:autoSpaceDE w:val="0"/>
              <w:autoSpaceDN w:val="0"/>
              <w:spacing w:after="0" w:line="360" w:lineRule="auto"/>
              <w:ind w:left="258"/>
              <w:jc w:val="thaiDistribute"/>
              <w:rPr>
                <w:rFonts w:asciiTheme="majorHAnsi" w:hAnsiTheme="majorHAnsi" w:cstheme="majorHAnsi"/>
                <w:szCs w:val="18"/>
                <w:lang w:val="en-US"/>
              </w:rPr>
            </w:pPr>
          </w:p>
          <w:p w14:paraId="656D8C94" w14:textId="5C90ACD5" w:rsidR="000413D4" w:rsidRDefault="00EF1EAF" w:rsidP="007F78BC">
            <w:pPr>
              <w:tabs>
                <w:tab w:val="left" w:pos="450"/>
                <w:tab w:val="left" w:pos="540"/>
              </w:tabs>
              <w:spacing w:line="360" w:lineRule="auto"/>
              <w:jc w:val="thaiDistribute"/>
              <w:rPr>
                <w:rFonts w:asciiTheme="majorHAnsi" w:hAnsiTheme="majorHAnsi" w:cstheme="majorHAnsi"/>
                <w:szCs w:val="18"/>
                <w:lang w:val="en-US"/>
              </w:rPr>
            </w:pPr>
            <w:r w:rsidRPr="006567A8">
              <w:rPr>
                <w:rFonts w:asciiTheme="majorHAnsi" w:hAnsiTheme="majorHAnsi" w:cstheme="majorHAnsi"/>
                <w:szCs w:val="18"/>
                <w:lang w:val="en-US"/>
              </w:rPr>
              <w:t xml:space="preserve">The estimation of allowance for </w:t>
            </w:r>
            <w:r w:rsidR="004443A7">
              <w:rPr>
                <w:rFonts w:asciiTheme="majorHAnsi" w:hAnsiTheme="majorHAnsi" w:cstheme="majorHAnsi"/>
                <w:szCs w:val="18"/>
                <w:lang w:val="en-US"/>
              </w:rPr>
              <w:t>impairment loss</w:t>
            </w:r>
            <w:r w:rsidRPr="006567A8">
              <w:rPr>
                <w:rFonts w:asciiTheme="majorHAnsi" w:hAnsiTheme="majorHAnsi" w:cstheme="majorHAnsi"/>
                <w:szCs w:val="18"/>
                <w:lang w:val="en-US"/>
              </w:rPr>
              <w:t xml:space="preserve"> to reflect </w:t>
            </w:r>
            <w:r w:rsidR="00167853">
              <w:rPr>
                <w:rFonts w:asciiTheme="majorHAnsi" w:hAnsiTheme="majorHAnsi" w:cstheme="majorHAnsi"/>
                <w:szCs w:val="18"/>
                <w:lang w:val="en-US"/>
              </w:rPr>
              <w:t>re</w:t>
            </w:r>
            <w:r w:rsidR="002E13FB">
              <w:rPr>
                <w:rFonts w:asciiTheme="majorHAnsi" w:hAnsiTheme="majorHAnsi" w:cstheme="majorHAnsi"/>
                <w:szCs w:val="18"/>
                <w:lang w:val="en-US"/>
              </w:rPr>
              <w:t>a</w:t>
            </w:r>
            <w:r w:rsidR="00167853">
              <w:rPr>
                <w:rFonts w:asciiTheme="majorHAnsi" w:hAnsiTheme="majorHAnsi" w:cstheme="majorHAnsi"/>
                <w:szCs w:val="18"/>
                <w:lang w:val="en-US"/>
              </w:rPr>
              <w:t>li</w:t>
            </w:r>
            <w:r w:rsidR="002E13FB">
              <w:rPr>
                <w:rFonts w:asciiTheme="majorHAnsi" w:hAnsiTheme="majorHAnsi" w:cstheme="majorHAnsi"/>
                <w:szCs w:val="18"/>
                <w:lang w:val="en-US"/>
              </w:rPr>
              <w:t>z</w:t>
            </w:r>
            <w:r w:rsidR="00167853">
              <w:rPr>
                <w:rFonts w:asciiTheme="majorHAnsi" w:hAnsiTheme="majorHAnsi" w:cstheme="majorHAnsi"/>
                <w:szCs w:val="18"/>
                <w:lang w:val="en-US"/>
              </w:rPr>
              <w:t>able</w:t>
            </w:r>
            <w:r w:rsidRPr="006567A8">
              <w:rPr>
                <w:rFonts w:asciiTheme="majorHAnsi" w:hAnsiTheme="majorHAnsi" w:cstheme="majorHAnsi"/>
                <w:szCs w:val="18"/>
                <w:lang w:val="en-US"/>
              </w:rPr>
              <w:t xml:space="preserve"> of </w:t>
            </w:r>
            <w:r w:rsidR="004443A7">
              <w:rPr>
                <w:rFonts w:asciiTheme="majorHAnsi" w:hAnsiTheme="majorHAnsi" w:cstheme="majorHAnsi"/>
                <w:szCs w:val="18"/>
                <w:lang w:val="en-US"/>
              </w:rPr>
              <w:t xml:space="preserve">trade and other </w:t>
            </w:r>
            <w:r w:rsidRPr="006567A8">
              <w:rPr>
                <w:rFonts w:asciiTheme="majorHAnsi" w:hAnsiTheme="majorHAnsi" w:cstheme="majorHAnsi"/>
                <w:szCs w:val="18"/>
                <w:lang w:val="en-US"/>
              </w:rPr>
              <w:t>receivables that may result from non-collection</w:t>
            </w:r>
            <w:r w:rsidR="00055195">
              <w:rPr>
                <w:rFonts w:asciiTheme="majorHAnsi" w:hAnsiTheme="majorHAnsi" w:cstheme="majorHAnsi"/>
                <w:szCs w:val="18"/>
                <w:lang w:val="en-US"/>
              </w:rPr>
              <w:t xml:space="preserve"> including the expected credit loss</w:t>
            </w:r>
            <w:r w:rsidR="00403B66">
              <w:rPr>
                <w:rFonts w:asciiTheme="majorHAnsi" w:hAnsiTheme="majorHAnsi" w:cstheme="majorHAnsi"/>
                <w:szCs w:val="18"/>
                <w:lang w:val="en-US"/>
              </w:rPr>
              <w:t>.</w:t>
            </w:r>
            <w:r w:rsidR="00055195">
              <w:rPr>
                <w:rFonts w:asciiTheme="majorHAnsi" w:hAnsiTheme="majorHAnsi" w:cstheme="majorHAnsi"/>
                <w:szCs w:val="18"/>
                <w:lang w:val="en-US"/>
              </w:rPr>
              <w:t xml:space="preserve"> </w:t>
            </w:r>
            <w:r w:rsidRPr="006567A8">
              <w:rPr>
                <w:rFonts w:asciiTheme="majorHAnsi" w:hAnsiTheme="majorHAnsi" w:cstheme="majorHAnsi"/>
                <w:szCs w:val="18"/>
                <w:lang w:val="en-US"/>
              </w:rPr>
              <w:t xml:space="preserve"> Management is required to use </w:t>
            </w:r>
            <w:r w:rsidR="00B36576">
              <w:rPr>
                <w:rFonts w:asciiTheme="majorHAnsi" w:hAnsiTheme="majorHAnsi" w:cstheme="majorHAnsi"/>
                <w:szCs w:val="18"/>
                <w:lang w:val="en-US"/>
              </w:rPr>
              <w:t>judgment</w:t>
            </w:r>
            <w:r w:rsidRPr="006567A8">
              <w:rPr>
                <w:rFonts w:asciiTheme="majorHAnsi" w:hAnsiTheme="majorHAnsi" w:cstheme="majorHAnsi"/>
                <w:szCs w:val="18"/>
                <w:lang w:val="en-US"/>
              </w:rPr>
              <w:t xml:space="preserve"> to assess the </w:t>
            </w:r>
            <w:r w:rsidR="002B0C20">
              <w:rPr>
                <w:rFonts w:asciiTheme="majorHAnsi" w:hAnsiTheme="majorHAnsi" w:cstheme="majorHAnsi"/>
                <w:szCs w:val="18"/>
                <w:lang w:val="en-US"/>
              </w:rPr>
              <w:t xml:space="preserve">appropriateness of </w:t>
            </w:r>
            <w:r w:rsidRPr="006567A8">
              <w:rPr>
                <w:rFonts w:asciiTheme="majorHAnsi" w:hAnsiTheme="majorHAnsi" w:cstheme="majorHAnsi"/>
                <w:szCs w:val="18"/>
                <w:lang w:val="en-US"/>
              </w:rPr>
              <w:t xml:space="preserve">estimation </w:t>
            </w:r>
            <w:r w:rsidR="00016ABC">
              <w:rPr>
                <w:rFonts w:asciiTheme="majorHAnsi" w:hAnsiTheme="majorHAnsi" w:cstheme="majorHAnsi"/>
                <w:szCs w:val="18"/>
                <w:lang w:val="en-US"/>
              </w:rPr>
              <w:t>and</w:t>
            </w:r>
            <w:r w:rsidRPr="006567A8">
              <w:rPr>
                <w:rFonts w:asciiTheme="majorHAnsi" w:hAnsiTheme="majorHAnsi" w:cstheme="majorHAnsi"/>
                <w:szCs w:val="18"/>
                <w:lang w:val="en-US"/>
              </w:rPr>
              <w:t xml:space="preserve"> assumption, including the probability for collection based on circumstances</w:t>
            </w:r>
            <w:r w:rsidR="00F8276C">
              <w:rPr>
                <w:rFonts w:asciiTheme="majorHAnsi" w:hAnsiTheme="majorHAnsi" w:cstheme="majorHAnsi"/>
                <w:szCs w:val="18"/>
                <w:lang w:val="en-US"/>
              </w:rPr>
              <w:t xml:space="preserve"> including the consideration for the significant increase in credit risk </w:t>
            </w:r>
            <w:r w:rsidR="008E1628">
              <w:rPr>
                <w:rFonts w:asciiTheme="majorHAnsi" w:hAnsiTheme="majorHAnsi" w:cstheme="majorHAnsi"/>
                <w:szCs w:val="18"/>
                <w:lang w:val="en-US"/>
              </w:rPr>
              <w:t>from initial recognition</w:t>
            </w:r>
            <w:r w:rsidRPr="006567A8">
              <w:rPr>
                <w:rFonts w:asciiTheme="majorHAnsi" w:hAnsiTheme="majorHAnsi" w:cstheme="majorHAnsi"/>
                <w:szCs w:val="18"/>
                <w:lang w:val="en-US"/>
              </w:rPr>
              <w:t>, except for the matters discussed under the basis for qualified opinion.</w:t>
            </w:r>
            <w:r w:rsidR="007568DA" w:rsidRPr="006567A8">
              <w:rPr>
                <w:rFonts w:asciiTheme="majorHAnsi" w:hAnsiTheme="majorHAnsi" w:cstheme="majorHAnsi"/>
                <w:szCs w:val="18"/>
                <w:lang w:val="en-US"/>
              </w:rPr>
              <w:t xml:space="preserve"> </w:t>
            </w:r>
          </w:p>
          <w:p w14:paraId="21FB9AD6" w14:textId="77777777" w:rsidR="000413D4" w:rsidRDefault="000413D4" w:rsidP="00EF1EAF">
            <w:pPr>
              <w:tabs>
                <w:tab w:val="left" w:pos="450"/>
                <w:tab w:val="left" w:pos="540"/>
              </w:tabs>
              <w:spacing w:line="360" w:lineRule="auto"/>
              <w:jc w:val="both"/>
              <w:rPr>
                <w:rFonts w:asciiTheme="majorHAnsi" w:hAnsiTheme="majorHAnsi" w:cstheme="majorHAnsi"/>
                <w:szCs w:val="18"/>
                <w:lang w:val="en-US"/>
              </w:rPr>
            </w:pPr>
          </w:p>
          <w:p w14:paraId="5D5C40DB" w14:textId="04F9988B" w:rsidR="00EF1EAF" w:rsidRPr="006567A8" w:rsidRDefault="00EF1EAF" w:rsidP="000230F6">
            <w:pPr>
              <w:tabs>
                <w:tab w:val="left" w:pos="450"/>
                <w:tab w:val="left" w:pos="540"/>
              </w:tabs>
              <w:spacing w:line="360" w:lineRule="auto"/>
              <w:jc w:val="both"/>
              <w:rPr>
                <w:rFonts w:asciiTheme="majorHAnsi" w:hAnsiTheme="majorHAnsi" w:cstheme="majorHAnsi"/>
                <w:szCs w:val="18"/>
                <w:lang w:val="en-US"/>
              </w:rPr>
            </w:pPr>
            <w:r w:rsidRPr="006567A8">
              <w:rPr>
                <w:rFonts w:asciiTheme="majorHAnsi" w:hAnsiTheme="majorHAnsi" w:cstheme="majorHAnsi"/>
                <w:szCs w:val="18"/>
                <w:lang w:val="en-US"/>
              </w:rPr>
              <w:t>The Group and the Company disclosed balance of trade accounts receivable</w:t>
            </w:r>
            <w:r w:rsidR="009A55AF">
              <w:rPr>
                <w:rFonts w:asciiTheme="majorHAnsi" w:hAnsiTheme="majorHAnsi" w:cstheme="majorHAnsi"/>
                <w:szCs w:val="18"/>
                <w:lang w:val="en-US"/>
              </w:rPr>
              <w:t xml:space="preserve"> and other receivable</w:t>
            </w:r>
            <w:r w:rsidRPr="006567A8">
              <w:rPr>
                <w:rFonts w:asciiTheme="majorHAnsi" w:hAnsiTheme="majorHAnsi" w:cstheme="majorHAnsi"/>
                <w:szCs w:val="18"/>
                <w:lang w:val="en-US"/>
              </w:rPr>
              <w:t xml:space="preserve"> in Notes </w:t>
            </w:r>
            <w:r w:rsidR="0098585E">
              <w:rPr>
                <w:rFonts w:asciiTheme="majorHAnsi" w:hAnsiTheme="majorHAnsi" w:cstheme="majorHAnsi"/>
                <w:szCs w:val="18"/>
                <w:lang w:val="en-US"/>
              </w:rPr>
              <w:t>9</w:t>
            </w:r>
            <w:r w:rsidRPr="006567A8">
              <w:rPr>
                <w:rFonts w:asciiTheme="majorHAnsi" w:hAnsiTheme="majorHAnsi" w:cstheme="majorHAnsi"/>
                <w:szCs w:val="18"/>
                <w:lang w:val="en-US"/>
              </w:rPr>
              <w:t xml:space="preserve"> and </w:t>
            </w:r>
            <w:r w:rsidR="0098585E">
              <w:rPr>
                <w:rFonts w:asciiTheme="majorHAnsi" w:hAnsiTheme="majorHAnsi" w:cstheme="majorHAnsi"/>
                <w:szCs w:val="18"/>
                <w:lang w:val="en-US"/>
              </w:rPr>
              <w:t>10</w:t>
            </w:r>
            <w:r w:rsidRPr="006567A8">
              <w:rPr>
                <w:rFonts w:asciiTheme="majorHAnsi" w:hAnsiTheme="majorHAnsi" w:cstheme="majorHAnsi"/>
                <w:szCs w:val="18"/>
                <w:lang w:val="en-US"/>
              </w:rPr>
              <w:t xml:space="preserve"> to financial statements. </w:t>
            </w:r>
            <w:r w:rsidRPr="006567A8">
              <w:rPr>
                <w:rFonts w:asciiTheme="majorHAnsi" w:hAnsiTheme="majorHAnsi" w:cstheme="majorHAnsi"/>
                <w:szCs w:val="18"/>
                <w:rtl/>
                <w:cs/>
              </w:rPr>
              <w:t xml:space="preserve"> </w:t>
            </w:r>
          </w:p>
        </w:tc>
        <w:tc>
          <w:tcPr>
            <w:tcW w:w="4253" w:type="dxa"/>
            <w:tcBorders>
              <w:top w:val="single" w:sz="4" w:space="0" w:color="auto"/>
              <w:bottom w:val="single" w:sz="4" w:space="0" w:color="auto"/>
            </w:tcBorders>
            <w:shd w:val="clear" w:color="auto" w:fill="auto"/>
          </w:tcPr>
          <w:p w14:paraId="3730E854"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Cs w:val="18"/>
                <w:lang w:val="en-US"/>
              </w:rPr>
            </w:pPr>
          </w:p>
          <w:p w14:paraId="6A4D9F07" w14:textId="77777777" w:rsidR="00EF1EAF" w:rsidRPr="0032246D" w:rsidRDefault="00EF1EAF" w:rsidP="00A62B3D">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680F233C" w14:textId="77777777" w:rsidR="00B73B27" w:rsidRPr="0032246D" w:rsidRDefault="00B73B27" w:rsidP="007871AE">
            <w:pPr>
              <w:autoSpaceDE w:val="0"/>
              <w:autoSpaceDN w:val="0"/>
              <w:spacing w:after="0" w:line="360" w:lineRule="auto"/>
              <w:jc w:val="thaiDistribute"/>
              <w:rPr>
                <w:rFonts w:asciiTheme="majorHAnsi" w:hAnsiTheme="majorHAnsi" w:cstheme="majorHAnsi"/>
                <w:szCs w:val="18"/>
                <w:lang w:val="en-US"/>
              </w:rPr>
            </w:pPr>
          </w:p>
          <w:p w14:paraId="67E2AC47" w14:textId="6BF4C31C" w:rsidR="00EF1EAF" w:rsidRPr="0032246D" w:rsidRDefault="00EF1EAF" w:rsidP="00EB199D">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Obtained an understanding of the internal controls </w:t>
            </w:r>
            <w:r w:rsidR="00A34250">
              <w:rPr>
                <w:rFonts w:asciiTheme="majorHAnsi" w:hAnsiTheme="majorHAnsi" w:cstheme="majorHAnsi"/>
                <w:szCs w:val="18"/>
                <w:lang w:val="en-US"/>
              </w:rPr>
              <w:t>related to</w:t>
            </w:r>
            <w:r w:rsidRPr="0032246D">
              <w:rPr>
                <w:rFonts w:asciiTheme="majorHAnsi" w:hAnsiTheme="majorHAnsi" w:cstheme="majorHAnsi"/>
                <w:szCs w:val="18"/>
                <w:lang w:val="en-US"/>
              </w:rPr>
              <w:t xml:space="preserve"> procedures </w:t>
            </w:r>
            <w:r w:rsidR="001949EC">
              <w:rPr>
                <w:rFonts w:asciiTheme="majorHAnsi" w:hAnsiTheme="majorHAnsi" w:cstheme="majorHAnsi"/>
                <w:szCs w:val="18"/>
                <w:lang w:val="en-US"/>
              </w:rPr>
              <w:t>for</w:t>
            </w:r>
            <w:r w:rsidR="0054252D" w:rsidRPr="00766BC0">
              <w:rPr>
                <w:rFonts w:asciiTheme="majorHAnsi" w:hAnsiTheme="majorHAnsi" w:cstheme="majorHAnsi" w:hint="cs"/>
                <w:szCs w:val="18"/>
                <w:cs/>
                <w:lang w:val="en-US" w:bidi="th-TH"/>
              </w:rPr>
              <w:t xml:space="preserve"> </w:t>
            </w:r>
            <w:r w:rsidR="0054252D" w:rsidRPr="00766BC0">
              <w:rPr>
                <w:rFonts w:asciiTheme="majorHAnsi" w:hAnsiTheme="majorHAnsi" w:cstheme="majorHAnsi"/>
                <w:szCs w:val="18"/>
                <w:lang w:val="en-US"/>
              </w:rPr>
              <w:t>the</w:t>
            </w:r>
            <w:r w:rsidR="00826A0D" w:rsidRPr="00766BC0">
              <w:rPr>
                <w:rFonts w:asciiTheme="majorHAnsi" w:hAnsiTheme="majorHAnsi" w:cstheme="majorHAnsi" w:hint="cs"/>
                <w:szCs w:val="18"/>
                <w:cs/>
                <w:lang w:val="en-US" w:bidi="th-TH"/>
              </w:rPr>
              <w:t xml:space="preserve"> </w:t>
            </w:r>
            <w:r w:rsidR="00826A0D" w:rsidRPr="00766BC0">
              <w:rPr>
                <w:rFonts w:asciiTheme="majorHAnsi" w:hAnsiTheme="majorHAnsi" w:cstheme="majorHAnsi"/>
                <w:szCs w:val="18"/>
                <w:lang w:val="en-US"/>
              </w:rPr>
              <w:t>assessment of</w:t>
            </w:r>
            <w:r w:rsidRPr="0032246D">
              <w:rPr>
                <w:rFonts w:asciiTheme="majorHAnsi" w:hAnsiTheme="majorHAnsi" w:cstheme="majorHAnsi"/>
                <w:szCs w:val="18"/>
                <w:lang w:val="en-US"/>
              </w:rPr>
              <w:t xml:space="preserve"> </w:t>
            </w:r>
            <w:r w:rsidR="00586C3F">
              <w:rPr>
                <w:rFonts w:asciiTheme="majorHAnsi" w:hAnsiTheme="majorHAnsi" w:cstheme="majorHAnsi"/>
                <w:szCs w:val="18"/>
                <w:lang w:val="en-US"/>
              </w:rPr>
              <w:t>recoverable</w:t>
            </w:r>
            <w:r w:rsidR="00704AFA">
              <w:rPr>
                <w:rFonts w:asciiTheme="majorHAnsi" w:hAnsiTheme="majorHAnsi" w:cstheme="majorHAnsi"/>
                <w:szCs w:val="18"/>
                <w:lang w:val="en-US"/>
              </w:rPr>
              <w:t xml:space="preserve"> </w:t>
            </w:r>
            <w:r w:rsidR="000C5965">
              <w:rPr>
                <w:rFonts w:asciiTheme="majorHAnsi" w:hAnsiTheme="majorHAnsi" w:cstheme="majorHAnsi"/>
                <w:szCs w:val="18"/>
                <w:lang w:val="en-US"/>
              </w:rPr>
              <w:t xml:space="preserve">amount from the collection of </w:t>
            </w:r>
            <w:r w:rsidRPr="0032246D">
              <w:rPr>
                <w:rFonts w:asciiTheme="majorHAnsi" w:hAnsiTheme="majorHAnsi" w:cstheme="majorHAnsi"/>
                <w:szCs w:val="18"/>
                <w:lang w:val="en-US"/>
              </w:rPr>
              <w:t>trade</w:t>
            </w:r>
            <w:r w:rsidR="00015266">
              <w:rPr>
                <w:rFonts w:asciiTheme="majorHAnsi" w:hAnsiTheme="majorHAnsi" w:cstheme="majorHAnsi"/>
                <w:szCs w:val="18"/>
                <w:lang w:val="en-US"/>
              </w:rPr>
              <w:t xml:space="preserve"> and other</w:t>
            </w:r>
            <w:r w:rsidRPr="0032246D">
              <w:rPr>
                <w:rFonts w:asciiTheme="majorHAnsi" w:hAnsiTheme="majorHAnsi" w:cstheme="majorHAnsi"/>
                <w:szCs w:val="18"/>
                <w:lang w:val="en-US"/>
              </w:rPr>
              <w:t xml:space="preserve"> accounts receivable </w:t>
            </w:r>
            <w:r w:rsidR="00C657DA" w:rsidRPr="00740D93">
              <w:rPr>
                <w:rFonts w:asciiTheme="majorHAnsi" w:hAnsiTheme="majorHAnsi" w:cstheme="majorHAnsi"/>
                <w:szCs w:val="18"/>
                <w:lang w:val="en-US"/>
              </w:rPr>
              <w:t>includ</w:t>
            </w:r>
            <w:r w:rsidR="00407AA9" w:rsidRPr="00740D93">
              <w:rPr>
                <w:rFonts w:asciiTheme="majorHAnsi" w:hAnsiTheme="majorHAnsi" w:cstheme="majorHAnsi"/>
                <w:szCs w:val="18"/>
                <w:lang w:val="en-US"/>
              </w:rPr>
              <w:t>ing</w:t>
            </w:r>
            <w:r w:rsidR="00740D93" w:rsidRPr="00740D93">
              <w:rPr>
                <w:rFonts w:asciiTheme="majorHAnsi" w:hAnsiTheme="majorHAnsi" w:cstheme="majorHAnsi"/>
                <w:szCs w:val="18"/>
                <w:lang w:val="en-US"/>
              </w:rPr>
              <w:t xml:space="preserve"> the</w:t>
            </w:r>
            <w:r w:rsidR="00EB2DCC" w:rsidRPr="00740D93">
              <w:rPr>
                <w:rFonts w:asciiTheme="majorHAnsi" w:hAnsiTheme="majorHAnsi" w:cstheme="majorHAnsi"/>
                <w:szCs w:val="18"/>
                <w:lang w:val="en-US"/>
              </w:rPr>
              <w:t xml:space="preserve"> process</w:t>
            </w:r>
            <w:r w:rsidR="00740D93" w:rsidRPr="00740D93">
              <w:rPr>
                <w:rFonts w:asciiTheme="majorHAnsi" w:hAnsiTheme="majorHAnsi" w:cstheme="majorHAnsi"/>
                <w:szCs w:val="18"/>
                <w:lang w:val="en-US"/>
              </w:rPr>
              <w:t xml:space="preserve"> to </w:t>
            </w:r>
            <w:r w:rsidR="002A36A2">
              <w:rPr>
                <w:rFonts w:asciiTheme="majorHAnsi" w:hAnsiTheme="majorHAnsi" w:cstheme="majorHAnsi"/>
                <w:szCs w:val="18"/>
                <w:lang w:val="en-US"/>
              </w:rPr>
              <w:t xml:space="preserve">consider </w:t>
            </w:r>
            <w:r w:rsidR="00740D93" w:rsidRPr="00740D93">
              <w:rPr>
                <w:rFonts w:asciiTheme="majorHAnsi" w:hAnsiTheme="majorHAnsi" w:cstheme="majorHAnsi"/>
                <w:szCs w:val="18"/>
                <w:lang w:val="en-US"/>
              </w:rPr>
              <w:t xml:space="preserve">the </w:t>
            </w:r>
            <w:r w:rsidR="00766BC0" w:rsidRPr="00740D93">
              <w:rPr>
                <w:rFonts w:asciiTheme="majorHAnsi" w:hAnsiTheme="majorHAnsi" w:cstheme="majorHAnsi"/>
                <w:szCs w:val="18"/>
                <w:lang w:val="en-US"/>
              </w:rPr>
              <w:t>expected</w:t>
            </w:r>
            <w:r w:rsidR="00740D93" w:rsidRPr="00740D93">
              <w:rPr>
                <w:rFonts w:asciiTheme="majorHAnsi" w:hAnsiTheme="majorHAnsi" w:cstheme="majorHAnsi"/>
                <w:szCs w:val="18"/>
                <w:lang w:val="en-US"/>
              </w:rPr>
              <w:t xml:space="preserve"> credit </w:t>
            </w:r>
            <w:r w:rsidR="00982443" w:rsidRPr="00740D93">
              <w:rPr>
                <w:rFonts w:asciiTheme="majorHAnsi" w:hAnsiTheme="majorHAnsi" w:cstheme="majorHAnsi"/>
                <w:szCs w:val="18"/>
                <w:lang w:val="en-US"/>
              </w:rPr>
              <w:t xml:space="preserve">loss </w:t>
            </w:r>
            <w:r w:rsidRPr="00740D93">
              <w:rPr>
                <w:rFonts w:asciiTheme="majorHAnsi" w:hAnsiTheme="majorHAnsi" w:cstheme="majorHAnsi"/>
                <w:szCs w:val="18"/>
                <w:lang w:val="en-US"/>
              </w:rPr>
              <w:t>to</w:t>
            </w:r>
            <w:r w:rsidRPr="0032246D">
              <w:rPr>
                <w:rFonts w:asciiTheme="majorHAnsi" w:hAnsiTheme="majorHAnsi" w:cstheme="majorHAnsi"/>
                <w:szCs w:val="18"/>
                <w:lang w:val="en-US"/>
              </w:rPr>
              <w:t xml:space="preserve"> determine the appropriateness of management estimates</w:t>
            </w:r>
            <w:r w:rsidR="00EF3647">
              <w:rPr>
                <w:rFonts w:asciiTheme="majorHAnsi" w:hAnsiTheme="majorHAnsi" w:cstheme="majorHAnsi"/>
                <w:szCs w:val="18"/>
                <w:lang w:val="en-US"/>
              </w:rPr>
              <w:t xml:space="preserve"> for the realization</w:t>
            </w:r>
            <w:r w:rsidR="00A77FB9">
              <w:rPr>
                <w:rFonts w:asciiTheme="majorHAnsi" w:hAnsiTheme="majorHAnsi" w:cstheme="majorHAnsi"/>
                <w:szCs w:val="18"/>
                <w:lang w:val="en-US"/>
              </w:rPr>
              <w:t>.</w:t>
            </w:r>
          </w:p>
          <w:p w14:paraId="7DF808D7" w14:textId="7ED54DD9" w:rsidR="00EF1EAF" w:rsidRDefault="00EF1EAF" w:rsidP="00EB199D">
            <w:pPr>
              <w:numPr>
                <w:ilvl w:val="0"/>
                <w:numId w:val="21"/>
              </w:numPr>
              <w:autoSpaceDE w:val="0"/>
              <w:autoSpaceDN w:val="0"/>
              <w:spacing w:after="0" w:line="360" w:lineRule="auto"/>
              <w:ind w:left="258" w:hanging="258"/>
              <w:jc w:val="thaiDistribute"/>
              <w:rPr>
                <w:rFonts w:asciiTheme="majorHAnsi" w:hAnsiTheme="majorHAnsi" w:cstheme="majorHAnsi"/>
                <w:szCs w:val="18"/>
                <w:rtl/>
                <w:lang w:val="en-US"/>
              </w:rPr>
            </w:pPr>
            <w:r w:rsidRPr="009C65CC">
              <w:rPr>
                <w:rFonts w:asciiTheme="majorHAnsi" w:hAnsiTheme="majorHAnsi" w:cstheme="majorHAnsi"/>
                <w:szCs w:val="18"/>
                <w:lang w:val="en-US"/>
              </w:rPr>
              <w:t xml:space="preserve">Reviewed the </w:t>
            </w:r>
            <w:r w:rsidR="004C5CAD">
              <w:rPr>
                <w:rFonts w:asciiTheme="majorHAnsi" w:hAnsiTheme="majorHAnsi" w:cstheme="majorHAnsi"/>
                <w:szCs w:val="18"/>
                <w:lang w:val="en-US"/>
              </w:rPr>
              <w:t>aging</w:t>
            </w:r>
            <w:r w:rsidR="00EF3647" w:rsidRPr="009C65CC">
              <w:rPr>
                <w:rFonts w:asciiTheme="majorHAnsi" w:hAnsiTheme="majorHAnsi" w:cstheme="majorHAnsi"/>
                <w:szCs w:val="18"/>
                <w:lang w:val="en-US"/>
              </w:rPr>
              <w:t xml:space="preserve"> </w:t>
            </w:r>
            <w:r w:rsidRPr="009C65CC">
              <w:rPr>
                <w:rFonts w:asciiTheme="majorHAnsi" w:hAnsiTheme="majorHAnsi" w:cstheme="majorHAnsi"/>
                <w:szCs w:val="18"/>
                <w:lang w:val="en-US"/>
              </w:rPr>
              <w:t>of receivables that have been long outstanding and developed</w:t>
            </w:r>
            <w:r w:rsidR="003E71C1" w:rsidRPr="009C65CC">
              <w:rPr>
                <w:rFonts w:asciiTheme="majorHAnsi" w:hAnsiTheme="majorHAnsi" w:cstheme="majorHAnsi"/>
                <w:szCs w:val="18"/>
                <w:lang w:val="en-US"/>
              </w:rPr>
              <w:t xml:space="preserve"> expectation of</w:t>
            </w:r>
            <w:r w:rsidRPr="009C65CC">
              <w:rPr>
                <w:rFonts w:asciiTheme="majorHAnsi" w:hAnsiTheme="majorHAnsi" w:cstheme="majorHAnsi"/>
                <w:szCs w:val="18"/>
                <w:lang w:val="en-US"/>
              </w:rPr>
              <w:t xml:space="preserve"> allowance for</w:t>
            </w:r>
            <w:r w:rsidR="00825712" w:rsidRPr="009C65CC">
              <w:rPr>
                <w:rFonts w:asciiTheme="majorHAnsi" w:hAnsiTheme="majorHAnsi" w:cstheme="majorHAnsi"/>
                <w:szCs w:val="18"/>
                <w:lang w:val="en-US"/>
              </w:rPr>
              <w:t xml:space="preserve"> impairment loss</w:t>
            </w:r>
            <w:r w:rsidRPr="009C65CC">
              <w:rPr>
                <w:rFonts w:asciiTheme="majorHAnsi" w:hAnsiTheme="majorHAnsi" w:cstheme="majorHAnsi"/>
                <w:szCs w:val="18"/>
                <w:lang w:val="en-US"/>
              </w:rPr>
              <w:t xml:space="preserve"> based on the circumstances for comparison with the allowance for </w:t>
            </w:r>
            <w:r w:rsidR="0059444D" w:rsidRPr="009C65CC">
              <w:rPr>
                <w:rFonts w:asciiTheme="majorHAnsi" w:hAnsiTheme="majorHAnsi" w:cstheme="majorHAnsi"/>
                <w:szCs w:val="18"/>
                <w:lang w:val="en-US"/>
              </w:rPr>
              <w:t>impairment loss</w:t>
            </w:r>
            <w:r w:rsidRPr="009C65CC">
              <w:rPr>
                <w:rFonts w:asciiTheme="majorHAnsi" w:hAnsiTheme="majorHAnsi" w:cstheme="majorHAnsi"/>
                <w:szCs w:val="18"/>
                <w:lang w:val="en-US"/>
              </w:rPr>
              <w:t xml:space="preserve"> recognized by the Group and the Company. Considered the reason for the differences and the appropriateness of allowance for </w:t>
            </w:r>
            <w:r w:rsidR="00307C52" w:rsidRPr="009C65CC">
              <w:rPr>
                <w:rFonts w:asciiTheme="majorHAnsi" w:hAnsiTheme="majorHAnsi" w:cstheme="majorHAnsi"/>
                <w:szCs w:val="18"/>
                <w:lang w:val="en-US"/>
              </w:rPr>
              <w:t>impairment loss</w:t>
            </w:r>
            <w:r w:rsidR="00A77FB9" w:rsidRPr="009C65CC">
              <w:rPr>
                <w:rFonts w:asciiTheme="majorHAnsi" w:hAnsiTheme="majorHAnsi" w:cstheme="majorHAnsi"/>
                <w:szCs w:val="18"/>
                <w:lang w:val="en-US"/>
              </w:rPr>
              <w:t>.</w:t>
            </w:r>
            <w:r w:rsidRPr="009C65CC">
              <w:rPr>
                <w:rFonts w:asciiTheme="majorHAnsi" w:hAnsiTheme="majorHAnsi" w:cstheme="majorHAnsi"/>
                <w:szCs w:val="18"/>
                <w:rtl/>
                <w:cs/>
                <w:lang w:val="en-US"/>
              </w:rPr>
              <w:t xml:space="preserve"> </w:t>
            </w:r>
          </w:p>
          <w:p w14:paraId="1473FF16" w14:textId="6F5283A6" w:rsidR="002F1423" w:rsidRDefault="002F1423" w:rsidP="002F1423">
            <w:pPr>
              <w:autoSpaceDE w:val="0"/>
              <w:autoSpaceDN w:val="0"/>
              <w:spacing w:after="0" w:line="360" w:lineRule="auto"/>
              <w:jc w:val="thaiDistribute"/>
              <w:rPr>
                <w:rFonts w:asciiTheme="majorHAnsi" w:hAnsiTheme="majorHAnsi" w:cstheme="majorHAnsi"/>
                <w:szCs w:val="18"/>
                <w:lang w:val="en-US"/>
              </w:rPr>
            </w:pPr>
          </w:p>
          <w:p w14:paraId="4B9171E3" w14:textId="25CAF19A" w:rsidR="00514B59" w:rsidRDefault="00514B59" w:rsidP="002F1423">
            <w:pPr>
              <w:autoSpaceDE w:val="0"/>
              <w:autoSpaceDN w:val="0"/>
              <w:spacing w:after="0" w:line="360" w:lineRule="auto"/>
              <w:jc w:val="thaiDistribute"/>
              <w:rPr>
                <w:rFonts w:asciiTheme="majorHAnsi" w:hAnsiTheme="majorHAnsi" w:cstheme="majorHAnsi"/>
                <w:szCs w:val="18"/>
                <w:lang w:val="en-US"/>
              </w:rPr>
            </w:pPr>
          </w:p>
          <w:p w14:paraId="75A35624" w14:textId="162CA1EF" w:rsidR="00514B59" w:rsidRDefault="00514B59" w:rsidP="002F1423">
            <w:pPr>
              <w:autoSpaceDE w:val="0"/>
              <w:autoSpaceDN w:val="0"/>
              <w:spacing w:after="0" w:line="360" w:lineRule="auto"/>
              <w:jc w:val="thaiDistribute"/>
              <w:rPr>
                <w:rFonts w:asciiTheme="majorHAnsi" w:hAnsiTheme="majorHAnsi" w:cstheme="majorHAnsi"/>
                <w:szCs w:val="18"/>
                <w:lang w:val="en-US"/>
              </w:rPr>
            </w:pPr>
          </w:p>
          <w:p w14:paraId="494D153B" w14:textId="2D34563F" w:rsidR="00514B59" w:rsidRDefault="00514B59" w:rsidP="002F1423">
            <w:pPr>
              <w:autoSpaceDE w:val="0"/>
              <w:autoSpaceDN w:val="0"/>
              <w:spacing w:after="0" w:line="360" w:lineRule="auto"/>
              <w:jc w:val="thaiDistribute"/>
              <w:rPr>
                <w:rFonts w:asciiTheme="majorHAnsi" w:hAnsiTheme="majorHAnsi" w:cstheme="majorHAnsi"/>
                <w:szCs w:val="18"/>
                <w:lang w:val="en-US"/>
              </w:rPr>
            </w:pPr>
          </w:p>
          <w:p w14:paraId="4BDD723F" w14:textId="77777777" w:rsidR="00514B59" w:rsidRDefault="00514B59" w:rsidP="002F1423">
            <w:pPr>
              <w:autoSpaceDE w:val="0"/>
              <w:autoSpaceDN w:val="0"/>
              <w:spacing w:after="0" w:line="360" w:lineRule="auto"/>
              <w:jc w:val="thaiDistribute"/>
              <w:rPr>
                <w:rFonts w:asciiTheme="majorHAnsi" w:hAnsiTheme="majorHAnsi" w:cstheme="majorHAnsi"/>
                <w:szCs w:val="18"/>
                <w:rtl/>
                <w:lang w:val="en-US"/>
              </w:rPr>
            </w:pPr>
          </w:p>
          <w:p w14:paraId="41DF959F" w14:textId="397BCB3B" w:rsidR="002F1423" w:rsidRDefault="002F1423" w:rsidP="00FE5FC0">
            <w:pPr>
              <w:autoSpaceDE w:val="0"/>
              <w:autoSpaceDN w:val="0"/>
              <w:spacing w:after="0" w:line="360" w:lineRule="auto"/>
              <w:ind w:left="258"/>
              <w:jc w:val="thaiDistribute"/>
              <w:rPr>
                <w:rFonts w:asciiTheme="majorHAnsi" w:hAnsiTheme="majorHAnsi" w:cstheme="majorHAnsi"/>
                <w:szCs w:val="18"/>
                <w:rtl/>
                <w:lang w:val="en-US"/>
              </w:rPr>
            </w:pPr>
          </w:p>
          <w:p w14:paraId="2F781346" w14:textId="0ADC5C6E" w:rsidR="00EF1EAF" w:rsidRPr="00766BC0" w:rsidRDefault="00EF1EAF" w:rsidP="00FE5FC0">
            <w:pPr>
              <w:numPr>
                <w:ilvl w:val="0"/>
                <w:numId w:val="21"/>
              </w:numPr>
              <w:autoSpaceDE w:val="0"/>
              <w:autoSpaceDN w:val="0"/>
              <w:spacing w:after="0" w:line="360" w:lineRule="auto"/>
              <w:ind w:left="258" w:hanging="258"/>
              <w:jc w:val="both"/>
              <w:rPr>
                <w:rFonts w:asciiTheme="majorHAnsi" w:hAnsiTheme="majorHAnsi" w:cstheme="majorHAnsi"/>
                <w:szCs w:val="18"/>
                <w:lang w:val="en-US"/>
              </w:rPr>
            </w:pPr>
            <w:r w:rsidRPr="00766BC0">
              <w:rPr>
                <w:rFonts w:asciiTheme="majorHAnsi" w:hAnsiTheme="majorHAnsi" w:cstheme="majorHAnsi"/>
                <w:szCs w:val="18"/>
                <w:lang w:val="en-US"/>
              </w:rPr>
              <w:t>Assessed the realizable values of receivables including subsequent collection testing together with the assessment of the cash flows projection</w:t>
            </w:r>
            <w:r w:rsidRPr="00FE5FC0">
              <w:rPr>
                <w:rFonts w:asciiTheme="majorHAnsi" w:hAnsiTheme="majorHAnsi" w:cstheme="majorHAnsi"/>
                <w:szCs w:val="18"/>
                <w:lang w:val="en-US"/>
              </w:rPr>
              <w:t xml:space="preserve"> </w:t>
            </w:r>
            <w:r w:rsidRPr="00766BC0">
              <w:rPr>
                <w:rFonts w:asciiTheme="majorHAnsi" w:hAnsiTheme="majorHAnsi" w:cstheme="majorHAnsi"/>
                <w:szCs w:val="18"/>
                <w:lang w:val="en-US"/>
              </w:rPr>
              <w:t>of debtors to assess their ability to settle their accounts in the future</w:t>
            </w:r>
            <w:r w:rsidR="00A77FB9" w:rsidRPr="00766BC0">
              <w:rPr>
                <w:rFonts w:asciiTheme="majorHAnsi" w:hAnsiTheme="majorHAnsi" w:cstheme="majorHAnsi"/>
                <w:szCs w:val="18"/>
                <w:lang w:val="en-US"/>
              </w:rPr>
              <w:t>.</w:t>
            </w:r>
          </w:p>
          <w:p w14:paraId="7BBBC2A2" w14:textId="59EA277E" w:rsidR="0032246D" w:rsidRPr="00FE5FC0" w:rsidRDefault="00EF1EAF" w:rsidP="00FE5FC0">
            <w:pPr>
              <w:numPr>
                <w:ilvl w:val="0"/>
                <w:numId w:val="21"/>
              </w:numPr>
              <w:autoSpaceDE w:val="0"/>
              <w:autoSpaceDN w:val="0"/>
              <w:spacing w:after="0" w:line="360" w:lineRule="auto"/>
              <w:ind w:left="258" w:hanging="258"/>
              <w:jc w:val="both"/>
              <w:rPr>
                <w:rFonts w:asciiTheme="majorHAnsi" w:hAnsiTheme="majorHAnsi" w:cstheme="majorHAnsi"/>
                <w:szCs w:val="18"/>
                <w:lang w:val="en-US"/>
              </w:rPr>
            </w:pPr>
            <w:r w:rsidRPr="00FE5FC0">
              <w:rPr>
                <w:rFonts w:asciiTheme="majorHAnsi" w:hAnsiTheme="majorHAnsi" w:cstheme="majorHAnsi"/>
                <w:szCs w:val="18"/>
                <w:lang w:val="en-US"/>
              </w:rPr>
              <w:t>Assessed the adequacy of the Group’s and the Company’s disclosure for trade accounts</w:t>
            </w:r>
            <w:r w:rsidR="007568DA" w:rsidRPr="00FE5FC0">
              <w:rPr>
                <w:rFonts w:asciiTheme="majorHAnsi" w:hAnsiTheme="majorHAnsi" w:cstheme="majorHAnsi"/>
                <w:szCs w:val="18"/>
                <w:lang w:val="en-US"/>
              </w:rPr>
              <w:t xml:space="preserve"> </w:t>
            </w:r>
            <w:r w:rsidRPr="00FE5FC0">
              <w:rPr>
                <w:rFonts w:asciiTheme="majorHAnsi" w:hAnsiTheme="majorHAnsi" w:cstheme="majorHAnsi"/>
                <w:szCs w:val="18"/>
                <w:lang w:val="en-US"/>
              </w:rPr>
              <w:t xml:space="preserve">receivable and allowance for </w:t>
            </w:r>
            <w:r w:rsidR="00C76197" w:rsidRPr="00FE5FC0">
              <w:rPr>
                <w:rFonts w:asciiTheme="majorHAnsi" w:hAnsiTheme="majorHAnsi" w:cstheme="majorHAnsi"/>
                <w:szCs w:val="18"/>
                <w:lang w:val="en-US"/>
              </w:rPr>
              <w:t>impairment loss</w:t>
            </w:r>
            <w:r w:rsidR="000E5048" w:rsidRPr="00FE5FC0">
              <w:rPr>
                <w:rFonts w:asciiTheme="majorHAnsi" w:hAnsiTheme="majorHAnsi" w:cstheme="majorHAnsi"/>
                <w:szCs w:val="18"/>
                <w:lang w:val="en-US"/>
              </w:rPr>
              <w:t>.</w:t>
            </w:r>
          </w:p>
          <w:p w14:paraId="0F6C3EE0" w14:textId="77777777" w:rsidR="0032246D" w:rsidRDefault="0032246D" w:rsidP="009A7F4D">
            <w:pPr>
              <w:tabs>
                <w:tab w:val="left" w:pos="316"/>
              </w:tabs>
              <w:spacing w:line="360" w:lineRule="auto"/>
              <w:contextualSpacing/>
              <w:jc w:val="thaiDistribute"/>
              <w:rPr>
                <w:rFonts w:asciiTheme="majorHAnsi" w:hAnsiTheme="majorHAnsi" w:cstheme="majorHAnsi"/>
                <w:szCs w:val="18"/>
                <w:lang w:val="en-US"/>
              </w:rPr>
            </w:pPr>
          </w:p>
          <w:p w14:paraId="1F4FF075"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1F52E649"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5B8C4D8C"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680A39BF"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64F03077"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4BB272DC"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305E86C4" w14:textId="2B0856CA" w:rsidR="00286FFA" w:rsidRPr="0032246D" w:rsidRDefault="00286FFA" w:rsidP="009A7F4D">
            <w:pPr>
              <w:tabs>
                <w:tab w:val="left" w:pos="316"/>
              </w:tabs>
              <w:spacing w:line="360" w:lineRule="auto"/>
              <w:contextualSpacing/>
              <w:jc w:val="thaiDistribute"/>
              <w:rPr>
                <w:rFonts w:asciiTheme="majorHAnsi" w:hAnsiTheme="majorHAnsi" w:cstheme="majorHAnsi"/>
                <w:szCs w:val="18"/>
                <w:lang w:val="en-US"/>
              </w:rPr>
            </w:pPr>
          </w:p>
        </w:tc>
      </w:tr>
      <w:tr w:rsidR="00EF1EAF" w:rsidRPr="0032246D" w14:paraId="54E5CB26" w14:textId="77777777" w:rsidTr="00723550">
        <w:tc>
          <w:tcPr>
            <w:tcW w:w="4106" w:type="dxa"/>
            <w:tcBorders>
              <w:top w:val="single" w:sz="4" w:space="0" w:color="auto"/>
              <w:bottom w:val="single" w:sz="4" w:space="0" w:color="auto"/>
            </w:tcBorders>
            <w:shd w:val="clear" w:color="auto" w:fill="auto"/>
          </w:tcPr>
          <w:p w14:paraId="4BC36B56" w14:textId="77777777" w:rsidR="00723550" w:rsidRPr="00FC1B82" w:rsidRDefault="00723550" w:rsidP="0032246D">
            <w:pPr>
              <w:tabs>
                <w:tab w:val="left" w:pos="450"/>
                <w:tab w:val="left" w:pos="540"/>
              </w:tabs>
              <w:spacing w:line="360" w:lineRule="auto"/>
              <w:jc w:val="thaiDistribute"/>
              <w:rPr>
                <w:rFonts w:asciiTheme="majorHAnsi" w:hAnsiTheme="majorHAnsi" w:cstheme="majorHAnsi"/>
                <w:sz w:val="12"/>
                <w:szCs w:val="12"/>
                <w:u w:val="single"/>
                <w:lang w:val="en-US"/>
              </w:rPr>
            </w:pPr>
            <w:bookmarkStart w:id="1" w:name="_Hlk2182665"/>
          </w:p>
          <w:p w14:paraId="17D45CB3" w14:textId="608C673E" w:rsidR="00723550" w:rsidRDefault="006F0DDC" w:rsidP="00CC64F0">
            <w:pPr>
              <w:autoSpaceDE w:val="0"/>
              <w:autoSpaceDN w:val="0"/>
              <w:adjustRightInd w:val="0"/>
              <w:spacing w:line="360" w:lineRule="auto"/>
              <w:jc w:val="both"/>
              <w:rPr>
                <w:rFonts w:asciiTheme="majorHAnsi" w:hAnsiTheme="majorHAnsi" w:cstheme="majorHAnsi"/>
                <w:b/>
                <w:bCs/>
                <w:szCs w:val="18"/>
                <w:lang w:val="en-US"/>
              </w:rPr>
            </w:pPr>
            <w:r w:rsidRPr="00376AA7">
              <w:rPr>
                <w:rFonts w:asciiTheme="majorHAnsi" w:hAnsiTheme="majorHAnsi" w:cstheme="majorHAnsi"/>
                <w:b/>
                <w:bCs/>
                <w:szCs w:val="18"/>
                <w:lang w:val="en-US"/>
              </w:rPr>
              <w:t>I</w:t>
            </w:r>
            <w:r w:rsidR="00723550" w:rsidRPr="00376AA7">
              <w:rPr>
                <w:rFonts w:asciiTheme="majorHAnsi" w:hAnsiTheme="majorHAnsi" w:cstheme="majorHAnsi"/>
                <w:b/>
                <w:bCs/>
                <w:szCs w:val="18"/>
                <w:lang w:val="en-US"/>
              </w:rPr>
              <w:t>nvestment</w:t>
            </w:r>
            <w:r w:rsidR="00111542" w:rsidRPr="00376AA7">
              <w:rPr>
                <w:rFonts w:asciiTheme="majorHAnsi" w:hAnsiTheme="majorHAnsi" w:cstheme="majorHAnsi"/>
                <w:b/>
                <w:bCs/>
                <w:szCs w:val="18"/>
                <w:lang w:val="en-US"/>
              </w:rPr>
              <w:t>s</w:t>
            </w:r>
            <w:r w:rsidR="00723550" w:rsidRPr="00376AA7">
              <w:rPr>
                <w:rFonts w:asciiTheme="majorHAnsi" w:hAnsiTheme="majorHAnsi" w:cstheme="majorHAnsi"/>
                <w:b/>
                <w:bCs/>
                <w:szCs w:val="18"/>
                <w:lang w:val="en-US"/>
              </w:rPr>
              <w:t xml:space="preserve"> in subsidiaries and goodwill</w:t>
            </w:r>
            <w:r w:rsidRPr="00376AA7">
              <w:rPr>
                <w:rFonts w:asciiTheme="majorHAnsi" w:hAnsiTheme="majorHAnsi" w:cstheme="majorHAnsi"/>
                <w:b/>
                <w:bCs/>
                <w:szCs w:val="18"/>
                <w:lang w:val="en-US"/>
              </w:rPr>
              <w:t>, investment</w:t>
            </w:r>
            <w:r w:rsidR="00111542" w:rsidRPr="00376AA7">
              <w:rPr>
                <w:rFonts w:asciiTheme="majorHAnsi" w:hAnsiTheme="majorHAnsi" w:cstheme="majorHAnsi"/>
                <w:b/>
                <w:bCs/>
                <w:szCs w:val="18"/>
                <w:lang w:val="en-US"/>
              </w:rPr>
              <w:t>s</w:t>
            </w:r>
            <w:r w:rsidRPr="00376AA7">
              <w:rPr>
                <w:rFonts w:asciiTheme="majorHAnsi" w:hAnsiTheme="majorHAnsi" w:cstheme="majorHAnsi"/>
                <w:b/>
                <w:bCs/>
                <w:szCs w:val="18"/>
                <w:lang w:val="en-US"/>
              </w:rPr>
              <w:t xml:space="preserve"> in </w:t>
            </w:r>
            <w:r w:rsidR="00B808AD">
              <w:rPr>
                <w:rFonts w:asciiTheme="majorHAnsi" w:hAnsiTheme="majorHAnsi" w:cstheme="majorHAnsi"/>
                <w:b/>
                <w:bCs/>
                <w:szCs w:val="18"/>
                <w:lang w:val="en-US"/>
              </w:rPr>
              <w:t>associate</w:t>
            </w:r>
            <w:r w:rsidRPr="00376AA7">
              <w:rPr>
                <w:rFonts w:asciiTheme="majorHAnsi" w:hAnsiTheme="majorHAnsi" w:cstheme="majorHAnsi"/>
                <w:b/>
                <w:bCs/>
                <w:szCs w:val="18"/>
                <w:lang w:val="en-US"/>
              </w:rPr>
              <w:t>d</w:t>
            </w:r>
            <w:r w:rsidR="00B61262">
              <w:rPr>
                <w:rFonts w:asciiTheme="majorHAnsi" w:hAnsiTheme="majorHAnsi" w:cstheme="majorHAnsi"/>
                <w:b/>
                <w:bCs/>
                <w:szCs w:val="18"/>
                <w:lang w:val="en-US"/>
              </w:rPr>
              <w:t xml:space="preserve"> and</w:t>
            </w:r>
            <w:r w:rsidRPr="00376AA7">
              <w:rPr>
                <w:rFonts w:asciiTheme="majorHAnsi" w:hAnsiTheme="majorHAnsi" w:cstheme="majorHAnsi"/>
                <w:b/>
                <w:bCs/>
                <w:szCs w:val="18"/>
                <w:lang w:val="en-US"/>
              </w:rPr>
              <w:t xml:space="preserve"> </w:t>
            </w:r>
            <w:r w:rsidR="00183A83">
              <w:rPr>
                <w:rFonts w:asciiTheme="majorHAnsi" w:hAnsiTheme="majorHAnsi" w:cstheme="majorHAnsi"/>
                <w:b/>
                <w:bCs/>
                <w:szCs w:val="18"/>
                <w:lang w:val="en-US"/>
              </w:rPr>
              <w:t>joint control compan</w:t>
            </w:r>
            <w:r w:rsidR="00B61262">
              <w:rPr>
                <w:rFonts w:asciiTheme="majorHAnsi" w:hAnsiTheme="majorHAnsi" w:cstheme="majorHAnsi"/>
                <w:b/>
                <w:bCs/>
                <w:szCs w:val="18"/>
                <w:lang w:val="en-US"/>
              </w:rPr>
              <w:t>ies</w:t>
            </w:r>
          </w:p>
          <w:p w14:paraId="5968EDA6" w14:textId="77777777" w:rsidR="00B808AD" w:rsidRPr="00B808AD" w:rsidRDefault="00B808AD" w:rsidP="00CC64F0">
            <w:pPr>
              <w:autoSpaceDE w:val="0"/>
              <w:autoSpaceDN w:val="0"/>
              <w:adjustRightInd w:val="0"/>
              <w:spacing w:line="360" w:lineRule="auto"/>
              <w:jc w:val="both"/>
              <w:rPr>
                <w:rFonts w:asciiTheme="majorHAnsi" w:hAnsiTheme="majorHAnsi" w:cstheme="majorHAnsi"/>
                <w:b/>
                <w:bCs/>
                <w:sz w:val="10"/>
                <w:szCs w:val="10"/>
                <w:lang w:val="en-US"/>
              </w:rPr>
            </w:pPr>
          </w:p>
          <w:p w14:paraId="6F4146B9" w14:textId="6C30A3D0" w:rsidR="001F2456" w:rsidRPr="00376AA7" w:rsidRDefault="001F2456" w:rsidP="00723550">
            <w:pPr>
              <w:tabs>
                <w:tab w:val="left" w:pos="450"/>
                <w:tab w:val="left" w:pos="540"/>
              </w:tabs>
              <w:spacing w:line="360" w:lineRule="auto"/>
              <w:jc w:val="thaiDistribute"/>
              <w:rPr>
                <w:rFonts w:asciiTheme="majorHAnsi" w:hAnsiTheme="majorHAnsi" w:cstheme="majorHAnsi"/>
                <w:i/>
                <w:iCs/>
                <w:spacing w:val="-4"/>
                <w:szCs w:val="18"/>
              </w:rPr>
            </w:pPr>
            <w:r w:rsidRPr="00376AA7">
              <w:rPr>
                <w:rFonts w:asciiTheme="majorHAnsi" w:hAnsiTheme="majorHAnsi" w:cstheme="majorHAnsi"/>
                <w:i/>
                <w:iCs/>
                <w:spacing w:val="-4"/>
                <w:szCs w:val="18"/>
              </w:rPr>
              <w:t>Investment in subsidiaries and goodwill</w:t>
            </w:r>
          </w:p>
          <w:p w14:paraId="0DB64201" w14:textId="02D54658" w:rsidR="00606FF5" w:rsidRPr="00376AA7" w:rsidRDefault="001F2456" w:rsidP="00E17052">
            <w:pPr>
              <w:tabs>
                <w:tab w:val="left" w:pos="450"/>
                <w:tab w:val="left" w:pos="540"/>
              </w:tabs>
              <w:spacing w:line="360" w:lineRule="auto"/>
              <w:jc w:val="thaiDistribute"/>
              <w:rPr>
                <w:rFonts w:asciiTheme="majorHAnsi" w:hAnsiTheme="majorHAnsi" w:cstheme="majorHAnsi"/>
                <w:szCs w:val="18"/>
                <w:lang w:val="en-US"/>
              </w:rPr>
            </w:pPr>
            <w:r w:rsidRPr="00376AA7">
              <w:rPr>
                <w:rFonts w:asciiTheme="majorHAnsi" w:hAnsiTheme="majorHAnsi" w:cstheme="majorHAnsi"/>
                <w:spacing w:val="-4"/>
                <w:szCs w:val="18"/>
                <w:lang w:val="en-US"/>
              </w:rPr>
              <w:t xml:space="preserve">As </w:t>
            </w:r>
            <w:proofErr w:type="gramStart"/>
            <w:r w:rsidRPr="00376AA7">
              <w:rPr>
                <w:rFonts w:asciiTheme="majorHAnsi" w:hAnsiTheme="majorHAnsi" w:cstheme="majorHAnsi"/>
                <w:spacing w:val="-4"/>
                <w:szCs w:val="18"/>
                <w:lang w:val="en-US"/>
              </w:rPr>
              <w:t>at</w:t>
            </w:r>
            <w:proofErr w:type="gramEnd"/>
            <w:r w:rsidRPr="00376AA7">
              <w:rPr>
                <w:rFonts w:asciiTheme="majorHAnsi" w:hAnsiTheme="majorHAnsi" w:cstheme="majorHAnsi"/>
                <w:spacing w:val="-4"/>
                <w:szCs w:val="18"/>
                <w:lang w:val="en-US"/>
              </w:rPr>
              <w:t xml:space="preserve"> 31 December 20</w:t>
            </w:r>
            <w:r w:rsidR="00DE475E" w:rsidRPr="00376AA7">
              <w:rPr>
                <w:rFonts w:asciiTheme="majorHAnsi" w:hAnsiTheme="majorHAnsi" w:cstheme="majorHAnsi"/>
                <w:spacing w:val="-4"/>
                <w:szCs w:val="18"/>
                <w:lang w:val="en-US"/>
              </w:rPr>
              <w:t>20</w:t>
            </w:r>
            <w:r w:rsidRPr="00376AA7">
              <w:rPr>
                <w:rFonts w:asciiTheme="majorHAnsi" w:hAnsiTheme="majorHAnsi" w:cstheme="majorHAnsi"/>
                <w:spacing w:val="-4"/>
                <w:szCs w:val="18"/>
                <w:lang w:val="en-US"/>
              </w:rPr>
              <w:t>, t</w:t>
            </w:r>
            <w:r w:rsidR="00723550" w:rsidRPr="00376AA7">
              <w:rPr>
                <w:rFonts w:asciiTheme="majorHAnsi" w:hAnsiTheme="majorHAnsi" w:cstheme="majorHAnsi"/>
                <w:spacing w:val="-4"/>
                <w:szCs w:val="18"/>
                <w:lang w:val="en-US"/>
              </w:rPr>
              <w:t xml:space="preserve">he Company has investments in subsidiaries net of allowance for impairment of investment of Baht </w:t>
            </w:r>
            <w:r w:rsidR="00BD5CF6" w:rsidRPr="00376AA7">
              <w:rPr>
                <w:rFonts w:asciiTheme="majorHAnsi" w:hAnsiTheme="majorHAnsi" w:cstheme="majorHAnsi"/>
                <w:spacing w:val="-4"/>
                <w:szCs w:val="18"/>
                <w:lang w:val="en-US"/>
              </w:rPr>
              <w:t>11,788.29</w:t>
            </w:r>
            <w:r w:rsidR="00723550" w:rsidRPr="00376AA7">
              <w:rPr>
                <w:rFonts w:asciiTheme="majorHAnsi" w:hAnsiTheme="majorHAnsi" w:cstheme="majorHAnsi"/>
                <w:spacing w:val="-4"/>
                <w:szCs w:val="18"/>
                <w:lang w:val="en-US"/>
              </w:rPr>
              <w:t xml:space="preserve"> million.</w:t>
            </w:r>
            <w:r w:rsidR="00B41EF0" w:rsidRPr="00376AA7">
              <w:rPr>
                <w:rFonts w:asciiTheme="majorHAnsi" w:hAnsiTheme="majorHAnsi" w:cstheme="majorHAnsi"/>
                <w:spacing w:val="-4"/>
                <w:szCs w:val="18"/>
                <w:lang w:val="en-US"/>
              </w:rPr>
              <w:t xml:space="preserve"> The Company </w:t>
            </w:r>
            <w:r w:rsidR="00550933" w:rsidRPr="00376AA7">
              <w:rPr>
                <w:rFonts w:asciiTheme="majorHAnsi" w:hAnsiTheme="majorHAnsi" w:cstheme="majorHAnsi"/>
                <w:spacing w:val="-4"/>
                <w:szCs w:val="18"/>
                <w:lang w:val="en-US"/>
              </w:rPr>
              <w:t xml:space="preserve">recognizes allowance for impairment of investment </w:t>
            </w:r>
            <w:r w:rsidR="0076017E" w:rsidRPr="00376AA7">
              <w:rPr>
                <w:rFonts w:asciiTheme="majorHAnsi" w:hAnsiTheme="majorHAnsi" w:cstheme="majorHAnsi"/>
                <w:spacing w:val="-4"/>
                <w:szCs w:val="18"/>
                <w:lang w:val="en-US"/>
              </w:rPr>
              <w:t xml:space="preserve">during the year of Baht </w:t>
            </w:r>
            <w:r w:rsidR="005B273F" w:rsidRPr="00376AA7">
              <w:rPr>
                <w:rFonts w:asciiTheme="majorHAnsi" w:hAnsiTheme="majorHAnsi" w:cstheme="majorHAnsi"/>
                <w:spacing w:val="-4"/>
                <w:szCs w:val="18"/>
                <w:lang w:val="en-US"/>
              </w:rPr>
              <w:t>221.81</w:t>
            </w:r>
            <w:r w:rsidR="00C40BDA" w:rsidRPr="00376AA7">
              <w:rPr>
                <w:rFonts w:asciiTheme="majorHAnsi" w:hAnsiTheme="majorHAnsi" w:cstheme="majorHAnsi"/>
                <w:spacing w:val="-4"/>
                <w:szCs w:val="18"/>
                <w:lang w:val="en-US"/>
              </w:rPr>
              <w:t xml:space="preserve"> million. In addition,</w:t>
            </w:r>
            <w:r w:rsidR="00E17052" w:rsidRPr="00376AA7">
              <w:rPr>
                <w:rFonts w:asciiTheme="majorHAnsi" w:hAnsiTheme="majorHAnsi" w:cstheme="majorHAnsi"/>
                <w:spacing w:val="-4"/>
                <w:szCs w:val="18"/>
                <w:lang w:val="en-US"/>
              </w:rPr>
              <w:t xml:space="preserve"> t</w:t>
            </w:r>
            <w:r w:rsidR="00E17052" w:rsidRPr="00376AA7">
              <w:rPr>
                <w:rFonts w:asciiTheme="majorHAnsi" w:hAnsiTheme="majorHAnsi" w:cstheme="majorHAnsi"/>
                <w:szCs w:val="18"/>
                <w:lang w:val="en-US"/>
              </w:rPr>
              <w:t>he Company has goodwill of Baht 8</w:t>
            </w:r>
            <w:r w:rsidR="003819D1" w:rsidRPr="00376AA7">
              <w:rPr>
                <w:rFonts w:asciiTheme="majorHAnsi" w:hAnsiTheme="majorHAnsi" w:cstheme="majorHAnsi"/>
                <w:szCs w:val="18"/>
                <w:lang w:val="en-US"/>
              </w:rPr>
              <w:t>5</w:t>
            </w:r>
            <w:r w:rsidR="005B273F" w:rsidRPr="00376AA7">
              <w:rPr>
                <w:rFonts w:asciiTheme="majorHAnsi" w:hAnsiTheme="majorHAnsi" w:cstheme="majorHAnsi"/>
                <w:szCs w:val="18"/>
                <w:lang w:val="en-US"/>
              </w:rPr>
              <w:t>2</w:t>
            </w:r>
            <w:r w:rsidR="00E17052" w:rsidRPr="00376AA7">
              <w:rPr>
                <w:rFonts w:asciiTheme="majorHAnsi" w:hAnsiTheme="majorHAnsi" w:cstheme="majorHAnsi"/>
                <w:szCs w:val="18"/>
                <w:lang w:val="en-US"/>
              </w:rPr>
              <w:t>.</w:t>
            </w:r>
            <w:r w:rsidR="005B273F" w:rsidRPr="00376AA7">
              <w:rPr>
                <w:rFonts w:asciiTheme="majorHAnsi" w:hAnsiTheme="majorHAnsi" w:cstheme="majorHAnsi"/>
                <w:szCs w:val="18"/>
                <w:lang w:val="en-US"/>
              </w:rPr>
              <w:t>50</w:t>
            </w:r>
            <w:r w:rsidR="00E17052" w:rsidRPr="00376AA7">
              <w:rPr>
                <w:rFonts w:asciiTheme="majorHAnsi" w:hAnsiTheme="majorHAnsi" w:cstheme="majorHAnsi"/>
                <w:szCs w:val="18"/>
                <w:lang w:val="en-US"/>
              </w:rPr>
              <w:t xml:space="preserve"> million which arose from the acquisition of investments in Potash mining, cement business in Thailand and construction business in India. </w:t>
            </w:r>
          </w:p>
          <w:p w14:paraId="33E0459D" w14:textId="06B3D2C0" w:rsidR="00683760" w:rsidRPr="00376AA7" w:rsidRDefault="00683760" w:rsidP="00E17052">
            <w:pPr>
              <w:tabs>
                <w:tab w:val="left" w:pos="450"/>
                <w:tab w:val="left" w:pos="540"/>
              </w:tabs>
              <w:spacing w:line="360" w:lineRule="auto"/>
              <w:jc w:val="thaiDistribute"/>
              <w:rPr>
                <w:rFonts w:asciiTheme="majorHAnsi" w:hAnsiTheme="majorHAnsi" w:cstheme="majorHAnsi"/>
                <w:szCs w:val="18"/>
                <w:lang w:val="en-US"/>
              </w:rPr>
            </w:pPr>
          </w:p>
          <w:p w14:paraId="3BA8C147" w14:textId="540B9D1B" w:rsidR="002723A4" w:rsidRPr="00376AA7" w:rsidRDefault="002723A4" w:rsidP="00E17052">
            <w:pPr>
              <w:tabs>
                <w:tab w:val="left" w:pos="450"/>
                <w:tab w:val="left" w:pos="540"/>
              </w:tabs>
              <w:spacing w:line="360" w:lineRule="auto"/>
              <w:jc w:val="thaiDistribute"/>
              <w:rPr>
                <w:rFonts w:asciiTheme="majorHAnsi" w:hAnsiTheme="majorHAnsi" w:cstheme="majorHAnsi"/>
                <w:szCs w:val="18"/>
                <w:lang w:val="en-US"/>
              </w:rPr>
            </w:pPr>
          </w:p>
          <w:p w14:paraId="5C96E641" w14:textId="240C3677" w:rsidR="002723A4" w:rsidRPr="00376AA7" w:rsidRDefault="002723A4" w:rsidP="00E17052">
            <w:pPr>
              <w:tabs>
                <w:tab w:val="left" w:pos="450"/>
                <w:tab w:val="left" w:pos="540"/>
              </w:tabs>
              <w:spacing w:line="360" w:lineRule="auto"/>
              <w:jc w:val="thaiDistribute"/>
              <w:rPr>
                <w:rFonts w:asciiTheme="majorHAnsi" w:hAnsiTheme="majorHAnsi" w:cstheme="majorHAnsi"/>
                <w:szCs w:val="18"/>
                <w:lang w:val="en-US"/>
              </w:rPr>
            </w:pPr>
          </w:p>
          <w:p w14:paraId="03922776" w14:textId="19007E23" w:rsidR="002723A4" w:rsidRPr="00376AA7" w:rsidRDefault="002723A4" w:rsidP="00E17052">
            <w:pPr>
              <w:tabs>
                <w:tab w:val="left" w:pos="450"/>
                <w:tab w:val="left" w:pos="540"/>
              </w:tabs>
              <w:spacing w:line="360" w:lineRule="auto"/>
              <w:jc w:val="thaiDistribute"/>
              <w:rPr>
                <w:rFonts w:asciiTheme="majorHAnsi" w:hAnsiTheme="majorHAnsi" w:cstheme="majorHAnsi"/>
                <w:szCs w:val="18"/>
                <w:lang w:val="en-US"/>
              </w:rPr>
            </w:pPr>
          </w:p>
          <w:p w14:paraId="6C6964C3" w14:textId="0974C00B" w:rsidR="007D7381" w:rsidRDefault="007D7381" w:rsidP="00E17052">
            <w:pPr>
              <w:tabs>
                <w:tab w:val="left" w:pos="450"/>
                <w:tab w:val="left" w:pos="540"/>
              </w:tabs>
              <w:spacing w:line="360" w:lineRule="auto"/>
              <w:jc w:val="thaiDistribute"/>
              <w:rPr>
                <w:rFonts w:asciiTheme="majorHAnsi" w:hAnsiTheme="majorHAnsi" w:cstheme="majorHAnsi"/>
                <w:i/>
                <w:iCs/>
                <w:szCs w:val="18"/>
                <w:lang w:val="en-US"/>
              </w:rPr>
            </w:pPr>
          </w:p>
          <w:p w14:paraId="5EF821B6" w14:textId="70323A67" w:rsidR="00514B59" w:rsidRDefault="00514B59" w:rsidP="00E17052">
            <w:pPr>
              <w:tabs>
                <w:tab w:val="left" w:pos="450"/>
                <w:tab w:val="left" w:pos="540"/>
              </w:tabs>
              <w:spacing w:line="360" w:lineRule="auto"/>
              <w:jc w:val="thaiDistribute"/>
              <w:rPr>
                <w:rFonts w:asciiTheme="majorHAnsi" w:hAnsiTheme="majorHAnsi" w:cstheme="majorHAnsi"/>
                <w:i/>
                <w:iCs/>
                <w:szCs w:val="18"/>
                <w:lang w:val="en-US"/>
              </w:rPr>
            </w:pPr>
          </w:p>
          <w:p w14:paraId="51F761DA" w14:textId="1A71B958" w:rsidR="00514B59" w:rsidRDefault="00514B59" w:rsidP="00E17052">
            <w:pPr>
              <w:tabs>
                <w:tab w:val="left" w:pos="450"/>
                <w:tab w:val="left" w:pos="540"/>
              </w:tabs>
              <w:spacing w:line="360" w:lineRule="auto"/>
              <w:jc w:val="thaiDistribute"/>
              <w:rPr>
                <w:rFonts w:asciiTheme="majorHAnsi" w:hAnsiTheme="majorHAnsi" w:cstheme="majorHAnsi"/>
                <w:i/>
                <w:iCs/>
                <w:szCs w:val="18"/>
                <w:lang w:val="en-US"/>
              </w:rPr>
            </w:pPr>
          </w:p>
          <w:p w14:paraId="17E033F2" w14:textId="77777777" w:rsidR="00514B59" w:rsidRPr="00376AA7" w:rsidRDefault="00514B59" w:rsidP="00E17052">
            <w:pPr>
              <w:tabs>
                <w:tab w:val="left" w:pos="450"/>
                <w:tab w:val="left" w:pos="540"/>
              </w:tabs>
              <w:spacing w:line="360" w:lineRule="auto"/>
              <w:jc w:val="thaiDistribute"/>
              <w:rPr>
                <w:rFonts w:asciiTheme="majorHAnsi" w:hAnsiTheme="majorHAnsi" w:cstheme="majorHAnsi"/>
                <w:i/>
                <w:iCs/>
                <w:szCs w:val="18"/>
                <w:lang w:val="en-US"/>
              </w:rPr>
            </w:pPr>
          </w:p>
          <w:p w14:paraId="571BF481" w14:textId="77777777" w:rsidR="00772459" w:rsidRDefault="00772459" w:rsidP="00E17052">
            <w:pPr>
              <w:tabs>
                <w:tab w:val="left" w:pos="450"/>
                <w:tab w:val="left" w:pos="540"/>
              </w:tabs>
              <w:spacing w:line="360" w:lineRule="auto"/>
              <w:jc w:val="thaiDistribute"/>
              <w:rPr>
                <w:rFonts w:asciiTheme="majorHAnsi" w:hAnsiTheme="majorHAnsi" w:cstheme="majorHAnsi"/>
                <w:i/>
                <w:iCs/>
                <w:szCs w:val="18"/>
                <w:lang w:val="en-US"/>
              </w:rPr>
            </w:pPr>
          </w:p>
          <w:p w14:paraId="225F8195" w14:textId="4032DBB1" w:rsidR="00683760" w:rsidRPr="00376AA7" w:rsidRDefault="00683760" w:rsidP="00E17052">
            <w:pPr>
              <w:tabs>
                <w:tab w:val="left" w:pos="450"/>
                <w:tab w:val="left" w:pos="540"/>
              </w:tabs>
              <w:spacing w:line="360" w:lineRule="auto"/>
              <w:jc w:val="thaiDistribute"/>
              <w:rPr>
                <w:rFonts w:asciiTheme="majorHAnsi" w:hAnsiTheme="majorHAnsi" w:cstheme="majorHAnsi"/>
                <w:i/>
                <w:iCs/>
                <w:szCs w:val="18"/>
                <w:lang w:val="en-US"/>
              </w:rPr>
            </w:pPr>
            <w:r w:rsidRPr="00376AA7">
              <w:rPr>
                <w:rFonts w:asciiTheme="majorHAnsi" w:hAnsiTheme="majorHAnsi" w:cstheme="majorHAnsi"/>
                <w:i/>
                <w:iCs/>
                <w:szCs w:val="18"/>
                <w:lang w:val="en-US"/>
              </w:rPr>
              <w:t xml:space="preserve">Investment in associated </w:t>
            </w:r>
            <w:r w:rsidR="00E23B72">
              <w:rPr>
                <w:rFonts w:asciiTheme="majorHAnsi" w:hAnsiTheme="majorHAnsi" w:cstheme="majorHAnsi"/>
                <w:i/>
                <w:iCs/>
                <w:szCs w:val="18"/>
                <w:lang w:val="en-US"/>
              </w:rPr>
              <w:t>and joint control compan</w:t>
            </w:r>
            <w:r w:rsidR="003B0737">
              <w:rPr>
                <w:rFonts w:asciiTheme="majorHAnsi" w:hAnsiTheme="majorHAnsi" w:cstheme="majorHAnsi"/>
                <w:i/>
                <w:iCs/>
                <w:szCs w:val="18"/>
                <w:lang w:val="en-US"/>
              </w:rPr>
              <w:t>ies</w:t>
            </w:r>
          </w:p>
          <w:p w14:paraId="45911461" w14:textId="4F7A6D22" w:rsidR="00BD207F" w:rsidRPr="00376AA7" w:rsidRDefault="00874964" w:rsidP="00E17052">
            <w:pPr>
              <w:tabs>
                <w:tab w:val="left" w:pos="450"/>
                <w:tab w:val="left" w:pos="540"/>
              </w:tabs>
              <w:spacing w:line="360" w:lineRule="auto"/>
              <w:jc w:val="thaiDistribute"/>
              <w:rPr>
                <w:rFonts w:asciiTheme="majorHAnsi" w:hAnsiTheme="majorHAnsi" w:cstheme="majorHAnsi"/>
                <w:szCs w:val="18"/>
                <w:lang w:val="en-US"/>
              </w:rPr>
            </w:pPr>
            <w:r w:rsidRPr="00376AA7">
              <w:rPr>
                <w:rFonts w:asciiTheme="majorHAnsi" w:hAnsiTheme="majorHAnsi" w:cstheme="majorHAnsi"/>
                <w:szCs w:val="18"/>
                <w:lang w:val="en-US"/>
              </w:rPr>
              <w:t xml:space="preserve">As </w:t>
            </w:r>
            <w:proofErr w:type="gramStart"/>
            <w:r w:rsidRPr="00376AA7">
              <w:rPr>
                <w:rFonts w:asciiTheme="majorHAnsi" w:hAnsiTheme="majorHAnsi" w:cstheme="majorHAnsi"/>
                <w:szCs w:val="18"/>
                <w:lang w:val="en-US"/>
              </w:rPr>
              <w:t>at</w:t>
            </w:r>
            <w:proofErr w:type="gramEnd"/>
            <w:r w:rsidRPr="00376AA7">
              <w:rPr>
                <w:rFonts w:asciiTheme="majorHAnsi" w:hAnsiTheme="majorHAnsi" w:cstheme="majorHAnsi"/>
                <w:szCs w:val="18"/>
                <w:lang w:val="en-US"/>
              </w:rPr>
              <w:t xml:space="preserve"> 31 December 20</w:t>
            </w:r>
            <w:r w:rsidR="00DE475E" w:rsidRPr="00376AA7">
              <w:rPr>
                <w:rFonts w:asciiTheme="majorHAnsi" w:hAnsiTheme="majorHAnsi" w:cstheme="majorHAnsi"/>
                <w:szCs w:val="18"/>
                <w:lang w:val="en-US"/>
              </w:rPr>
              <w:t>20</w:t>
            </w:r>
            <w:r w:rsidRPr="00376AA7">
              <w:rPr>
                <w:rFonts w:asciiTheme="majorHAnsi" w:hAnsiTheme="majorHAnsi" w:cstheme="majorHAnsi"/>
                <w:szCs w:val="18"/>
                <w:lang w:val="en-US"/>
              </w:rPr>
              <w:t xml:space="preserve">, </w:t>
            </w:r>
            <w:r w:rsidR="002268EB" w:rsidRPr="00376AA7">
              <w:rPr>
                <w:rFonts w:asciiTheme="majorHAnsi" w:hAnsiTheme="majorHAnsi" w:cstheme="majorHAnsi"/>
                <w:szCs w:val="18"/>
                <w:lang w:val="en-US"/>
              </w:rPr>
              <w:t>the Group and the Company ha</w:t>
            </w:r>
            <w:r w:rsidR="000028EE" w:rsidRPr="00376AA7">
              <w:rPr>
                <w:rFonts w:asciiTheme="majorHAnsi" w:hAnsiTheme="majorHAnsi" w:cstheme="majorHAnsi"/>
                <w:szCs w:val="18"/>
                <w:lang w:val="en-US"/>
              </w:rPr>
              <w:t>ve investment</w:t>
            </w:r>
            <w:r w:rsidR="00557574" w:rsidRPr="00376AA7">
              <w:rPr>
                <w:rFonts w:asciiTheme="majorHAnsi" w:hAnsiTheme="majorHAnsi" w:cstheme="majorHAnsi"/>
                <w:szCs w:val="18"/>
                <w:lang w:val="en-US"/>
              </w:rPr>
              <w:t>s</w:t>
            </w:r>
            <w:r w:rsidR="000028EE" w:rsidRPr="00376AA7">
              <w:rPr>
                <w:rFonts w:asciiTheme="majorHAnsi" w:hAnsiTheme="majorHAnsi" w:cstheme="majorHAnsi"/>
                <w:szCs w:val="18"/>
                <w:lang w:val="en-US"/>
              </w:rPr>
              <w:t xml:space="preserve"> </w:t>
            </w:r>
            <w:r w:rsidR="00C46C72">
              <w:rPr>
                <w:rFonts w:asciiTheme="majorHAnsi" w:hAnsiTheme="majorHAnsi" w:cstheme="majorHAnsi"/>
                <w:szCs w:val="18"/>
                <w:lang w:val="en-US"/>
              </w:rPr>
              <w:t>associated and joint control compan</w:t>
            </w:r>
            <w:r w:rsidR="00AD1545">
              <w:rPr>
                <w:rFonts w:asciiTheme="majorHAnsi" w:hAnsiTheme="majorHAnsi" w:cstheme="majorHAnsi"/>
                <w:szCs w:val="18"/>
                <w:lang w:val="en-US"/>
              </w:rPr>
              <w:t>ies</w:t>
            </w:r>
            <w:r w:rsidR="00C46C72">
              <w:rPr>
                <w:rFonts w:asciiTheme="majorHAnsi" w:hAnsiTheme="majorHAnsi" w:cstheme="majorHAnsi"/>
                <w:szCs w:val="18"/>
                <w:lang w:val="en-US"/>
              </w:rPr>
              <w:t xml:space="preserve"> </w:t>
            </w:r>
            <w:r w:rsidR="00220002" w:rsidRPr="00376AA7">
              <w:rPr>
                <w:rFonts w:asciiTheme="majorHAnsi" w:hAnsiTheme="majorHAnsi" w:cstheme="majorHAnsi"/>
                <w:szCs w:val="18"/>
                <w:lang w:val="en-US"/>
              </w:rPr>
              <w:t>account</w:t>
            </w:r>
            <w:r w:rsidR="009A144C" w:rsidRPr="00376AA7">
              <w:rPr>
                <w:rFonts w:asciiTheme="majorHAnsi" w:hAnsiTheme="majorHAnsi" w:cstheme="majorHAnsi"/>
                <w:szCs w:val="18"/>
                <w:lang w:val="en-US"/>
              </w:rPr>
              <w:t>ed</w:t>
            </w:r>
            <w:r w:rsidR="00220002" w:rsidRPr="00376AA7">
              <w:rPr>
                <w:rFonts w:asciiTheme="majorHAnsi" w:hAnsiTheme="majorHAnsi" w:cstheme="majorHAnsi"/>
                <w:szCs w:val="18"/>
                <w:lang w:val="en-US"/>
              </w:rPr>
              <w:t xml:space="preserve"> </w:t>
            </w:r>
            <w:r w:rsidR="009A144C" w:rsidRPr="00376AA7">
              <w:rPr>
                <w:rFonts w:asciiTheme="majorHAnsi" w:hAnsiTheme="majorHAnsi" w:cstheme="majorHAnsi"/>
                <w:szCs w:val="18"/>
                <w:lang w:val="en-US"/>
              </w:rPr>
              <w:t>by the</w:t>
            </w:r>
            <w:r w:rsidR="00220002" w:rsidRPr="00376AA7">
              <w:rPr>
                <w:rFonts w:asciiTheme="majorHAnsi" w:hAnsiTheme="majorHAnsi" w:cstheme="majorHAnsi"/>
                <w:szCs w:val="18"/>
                <w:lang w:val="en-US"/>
              </w:rPr>
              <w:t xml:space="preserve"> equity method </w:t>
            </w:r>
            <w:r w:rsidR="006D7776" w:rsidRPr="00376AA7">
              <w:rPr>
                <w:rFonts w:asciiTheme="majorHAnsi" w:hAnsiTheme="majorHAnsi" w:cstheme="majorHAnsi"/>
                <w:szCs w:val="18"/>
                <w:lang w:val="en-US"/>
              </w:rPr>
              <w:t xml:space="preserve">in the consolidated financial statements totaling of Baht </w:t>
            </w:r>
            <w:r w:rsidR="00DB66BE" w:rsidRPr="00376AA7">
              <w:rPr>
                <w:rFonts w:asciiTheme="majorHAnsi" w:hAnsiTheme="majorHAnsi" w:cstheme="majorHAnsi"/>
                <w:szCs w:val="18"/>
                <w:lang w:val="en-US"/>
              </w:rPr>
              <w:t>2,333.0</w:t>
            </w:r>
            <w:r w:rsidR="003F4E13">
              <w:rPr>
                <w:rFonts w:asciiTheme="majorHAnsi" w:hAnsiTheme="majorHAnsi" w:cstheme="majorHAnsi"/>
                <w:szCs w:val="18"/>
                <w:lang w:val="en-US"/>
              </w:rPr>
              <w:t>8</w:t>
            </w:r>
            <w:r w:rsidR="006D7776" w:rsidRPr="00376AA7">
              <w:rPr>
                <w:rFonts w:asciiTheme="majorHAnsi" w:hAnsiTheme="majorHAnsi" w:cstheme="majorHAnsi"/>
                <w:szCs w:val="18"/>
                <w:lang w:val="en-US"/>
              </w:rPr>
              <w:t xml:space="preserve"> million</w:t>
            </w:r>
            <w:r w:rsidR="00770A5C" w:rsidRPr="00376AA7">
              <w:rPr>
                <w:rFonts w:asciiTheme="majorHAnsi" w:hAnsiTheme="majorHAnsi" w:cstheme="majorHAnsi"/>
                <w:szCs w:val="18"/>
                <w:lang w:val="en-US"/>
              </w:rPr>
              <w:t xml:space="preserve">, which has been recorded at </w:t>
            </w:r>
            <w:r w:rsidR="00E91356" w:rsidRPr="00376AA7">
              <w:rPr>
                <w:rFonts w:asciiTheme="majorHAnsi" w:hAnsiTheme="majorHAnsi" w:cstheme="majorHAnsi"/>
                <w:szCs w:val="18"/>
                <w:lang w:val="en-US"/>
              </w:rPr>
              <w:t>cost</w:t>
            </w:r>
            <w:r w:rsidR="00055FB9" w:rsidRPr="00376AA7">
              <w:rPr>
                <w:rFonts w:asciiTheme="majorHAnsi" w:hAnsiTheme="majorHAnsi" w:cstheme="majorHAnsi"/>
                <w:szCs w:val="18"/>
                <w:lang w:val="en-US"/>
              </w:rPr>
              <w:t xml:space="preserve"> </w:t>
            </w:r>
            <w:r w:rsidR="00920849" w:rsidRPr="00376AA7">
              <w:rPr>
                <w:rFonts w:asciiTheme="majorHAnsi" w:hAnsiTheme="majorHAnsi" w:cstheme="majorHAnsi"/>
                <w:szCs w:val="18"/>
                <w:lang w:val="en-US"/>
              </w:rPr>
              <w:t xml:space="preserve">of Baht </w:t>
            </w:r>
            <w:r w:rsidR="00DB66BE" w:rsidRPr="00376AA7">
              <w:rPr>
                <w:rFonts w:asciiTheme="majorHAnsi" w:hAnsiTheme="majorHAnsi" w:cstheme="majorHAnsi"/>
                <w:szCs w:val="18"/>
                <w:lang w:val="en-US"/>
              </w:rPr>
              <w:t>2,369.</w:t>
            </w:r>
            <w:r w:rsidR="00CB01A4" w:rsidRPr="00376AA7">
              <w:rPr>
                <w:rFonts w:asciiTheme="majorHAnsi" w:hAnsiTheme="majorHAnsi" w:cstheme="majorHAnsi"/>
                <w:szCs w:val="18"/>
                <w:lang w:val="en-US"/>
              </w:rPr>
              <w:t>98</w:t>
            </w:r>
            <w:r w:rsidR="00920849" w:rsidRPr="00376AA7">
              <w:rPr>
                <w:rFonts w:asciiTheme="majorHAnsi" w:hAnsiTheme="majorHAnsi" w:cstheme="majorHAnsi"/>
                <w:szCs w:val="18"/>
                <w:lang w:val="en-US"/>
              </w:rPr>
              <w:t xml:space="preserve"> million</w:t>
            </w:r>
            <w:r w:rsidR="00E91356" w:rsidRPr="00376AA7">
              <w:rPr>
                <w:rFonts w:asciiTheme="majorHAnsi" w:hAnsiTheme="majorHAnsi" w:cstheme="majorHAnsi"/>
                <w:szCs w:val="18"/>
                <w:lang w:val="en-US"/>
              </w:rPr>
              <w:t xml:space="preserve"> in </w:t>
            </w:r>
            <w:r w:rsidR="00A50C00" w:rsidRPr="00376AA7">
              <w:rPr>
                <w:rFonts w:asciiTheme="majorHAnsi" w:hAnsiTheme="majorHAnsi" w:cstheme="majorHAnsi"/>
                <w:szCs w:val="18"/>
                <w:lang w:val="en-US"/>
              </w:rPr>
              <w:t xml:space="preserve">the separate financial statements </w:t>
            </w:r>
          </w:p>
          <w:p w14:paraId="16D97DD9" w14:textId="1B3DEE96" w:rsidR="00425006" w:rsidRPr="00376AA7" w:rsidRDefault="00BD207F" w:rsidP="00425006">
            <w:pPr>
              <w:tabs>
                <w:tab w:val="left" w:pos="450"/>
                <w:tab w:val="left" w:pos="540"/>
              </w:tabs>
              <w:spacing w:line="360" w:lineRule="auto"/>
              <w:jc w:val="thaiDistribute"/>
              <w:rPr>
                <w:rFonts w:asciiTheme="majorHAnsi" w:hAnsiTheme="majorHAnsi" w:cstheme="majorHAnsi"/>
                <w:spacing w:val="-4"/>
                <w:szCs w:val="18"/>
                <w:lang w:val="en-US"/>
              </w:rPr>
            </w:pPr>
            <w:r w:rsidRPr="00376AA7">
              <w:rPr>
                <w:rFonts w:asciiTheme="majorHAnsi" w:hAnsiTheme="majorHAnsi" w:cstheme="majorHAnsi"/>
                <w:szCs w:val="18"/>
                <w:lang w:val="en-US"/>
              </w:rPr>
              <w:t xml:space="preserve">In consideration of the recoverable amount of </w:t>
            </w:r>
            <w:r w:rsidRPr="00E279AF">
              <w:rPr>
                <w:rFonts w:asciiTheme="majorHAnsi" w:hAnsiTheme="majorHAnsi" w:cstheme="majorHAnsi"/>
                <w:spacing w:val="-6"/>
                <w:szCs w:val="18"/>
                <w:lang w:val="en-US"/>
              </w:rPr>
              <w:t>investment</w:t>
            </w:r>
            <w:r w:rsidR="002578C3" w:rsidRPr="00E279AF">
              <w:rPr>
                <w:rFonts w:asciiTheme="majorHAnsi" w:hAnsiTheme="majorHAnsi" w:cstheme="majorHAnsi"/>
                <w:spacing w:val="-6"/>
                <w:szCs w:val="18"/>
                <w:lang w:val="en-US"/>
              </w:rPr>
              <w:t>s</w:t>
            </w:r>
            <w:r w:rsidRPr="00E279AF">
              <w:rPr>
                <w:rFonts w:asciiTheme="majorHAnsi" w:hAnsiTheme="majorHAnsi" w:cstheme="majorHAnsi"/>
                <w:spacing w:val="-6"/>
                <w:szCs w:val="18"/>
                <w:lang w:val="en-US"/>
              </w:rPr>
              <w:t xml:space="preserve"> in subsidiar</w:t>
            </w:r>
            <w:r w:rsidR="009C1809" w:rsidRPr="00E279AF">
              <w:rPr>
                <w:rFonts w:asciiTheme="majorHAnsi" w:hAnsiTheme="majorHAnsi" w:cstheme="majorHAnsi"/>
                <w:spacing w:val="-6"/>
                <w:szCs w:val="18"/>
                <w:lang w:val="en-US"/>
              </w:rPr>
              <w:t>ies</w:t>
            </w:r>
            <w:r w:rsidR="0028678C" w:rsidRPr="00E279AF">
              <w:rPr>
                <w:rFonts w:asciiTheme="majorHAnsi" w:hAnsiTheme="majorHAnsi" w:cstheme="majorHAnsi"/>
                <w:spacing w:val="-6"/>
                <w:szCs w:val="18"/>
                <w:lang w:val="en-US"/>
              </w:rPr>
              <w:t>,</w:t>
            </w:r>
            <w:r w:rsidRPr="00E279AF">
              <w:rPr>
                <w:rFonts w:asciiTheme="majorHAnsi" w:hAnsiTheme="majorHAnsi" w:cstheme="majorHAnsi"/>
                <w:spacing w:val="-6"/>
                <w:szCs w:val="18"/>
                <w:lang w:val="en-US"/>
              </w:rPr>
              <w:t xml:space="preserve"> associated </w:t>
            </w:r>
            <w:r w:rsidR="003E5F81">
              <w:rPr>
                <w:rFonts w:asciiTheme="majorHAnsi" w:hAnsiTheme="majorHAnsi" w:cstheme="majorHAnsi"/>
                <w:spacing w:val="-6"/>
                <w:szCs w:val="18"/>
                <w:lang w:val="en-US"/>
              </w:rPr>
              <w:t xml:space="preserve">and joint control </w:t>
            </w:r>
            <w:r w:rsidRPr="00E279AF">
              <w:rPr>
                <w:rFonts w:asciiTheme="majorHAnsi" w:hAnsiTheme="majorHAnsi" w:cstheme="majorHAnsi"/>
                <w:spacing w:val="-6"/>
                <w:szCs w:val="18"/>
                <w:lang w:val="en-US"/>
              </w:rPr>
              <w:t>companies</w:t>
            </w:r>
            <w:r w:rsidR="00036ED5" w:rsidRPr="00E279AF">
              <w:rPr>
                <w:rFonts w:asciiTheme="majorHAnsi" w:hAnsiTheme="majorHAnsi" w:cstheme="majorHAnsi"/>
                <w:spacing w:val="-6"/>
                <w:szCs w:val="18"/>
                <w:lang w:val="en-US"/>
              </w:rPr>
              <w:t>,</w:t>
            </w:r>
            <w:r w:rsidRPr="00E279AF">
              <w:rPr>
                <w:rFonts w:asciiTheme="majorHAnsi" w:hAnsiTheme="majorHAnsi" w:cstheme="majorHAnsi"/>
                <w:spacing w:val="-6"/>
                <w:szCs w:val="18"/>
                <w:lang w:val="en-US"/>
              </w:rPr>
              <w:t xml:space="preserve"> including the impairment</w:t>
            </w:r>
            <w:r w:rsidR="00FA74CF" w:rsidRPr="00376AA7">
              <w:rPr>
                <w:rFonts w:asciiTheme="majorHAnsi" w:hAnsiTheme="majorHAnsi" w:cstheme="majorHAnsi"/>
                <w:szCs w:val="18"/>
                <w:lang w:val="en-US"/>
              </w:rPr>
              <w:t xml:space="preserve"> test</w:t>
            </w:r>
            <w:r w:rsidRPr="00376AA7">
              <w:rPr>
                <w:rFonts w:asciiTheme="majorHAnsi" w:hAnsiTheme="majorHAnsi" w:cstheme="majorHAnsi"/>
                <w:szCs w:val="18"/>
                <w:lang w:val="en-US"/>
              </w:rPr>
              <w:t xml:space="preserve"> of goodwill</w:t>
            </w:r>
            <w:r w:rsidR="0075014D" w:rsidRPr="00376AA7">
              <w:rPr>
                <w:rFonts w:asciiTheme="majorHAnsi" w:hAnsiTheme="majorHAnsi" w:cstheme="majorHAnsi"/>
                <w:szCs w:val="18"/>
                <w:lang w:val="en-US"/>
              </w:rPr>
              <w:t>,</w:t>
            </w:r>
            <w:r w:rsidR="00E17052" w:rsidRPr="00376AA7">
              <w:rPr>
                <w:rFonts w:asciiTheme="majorHAnsi" w:hAnsiTheme="majorHAnsi" w:cstheme="majorHAnsi"/>
                <w:szCs w:val="18"/>
                <w:lang w:val="en-US"/>
              </w:rPr>
              <w:t xml:space="preserve"> </w:t>
            </w:r>
            <w:r w:rsidR="00425006" w:rsidRPr="00376AA7">
              <w:rPr>
                <w:rFonts w:asciiTheme="majorHAnsi" w:hAnsiTheme="majorHAnsi" w:cstheme="majorHAnsi"/>
                <w:spacing w:val="-4"/>
                <w:szCs w:val="18"/>
                <w:lang w:val="en-US"/>
              </w:rPr>
              <w:t xml:space="preserve">management is required to use </w:t>
            </w:r>
            <w:r w:rsidR="00694315" w:rsidRPr="00376AA7">
              <w:rPr>
                <w:rFonts w:asciiTheme="majorHAnsi" w:hAnsiTheme="majorHAnsi" w:cstheme="majorHAnsi"/>
                <w:spacing w:val="-4"/>
                <w:szCs w:val="18"/>
                <w:lang w:val="en-US"/>
              </w:rPr>
              <w:t xml:space="preserve">highly </w:t>
            </w:r>
            <w:r w:rsidR="00B36576" w:rsidRPr="00376AA7">
              <w:rPr>
                <w:rFonts w:asciiTheme="majorHAnsi" w:hAnsiTheme="majorHAnsi" w:cstheme="majorHAnsi"/>
                <w:spacing w:val="-4"/>
                <w:szCs w:val="18"/>
                <w:lang w:val="en-US"/>
              </w:rPr>
              <w:t>judgment</w:t>
            </w:r>
            <w:r w:rsidR="00425006" w:rsidRPr="00376AA7">
              <w:rPr>
                <w:rFonts w:asciiTheme="majorHAnsi" w:hAnsiTheme="majorHAnsi" w:cstheme="majorHAnsi"/>
                <w:spacing w:val="-4"/>
                <w:szCs w:val="18"/>
                <w:lang w:val="en-US"/>
              </w:rPr>
              <w:t xml:space="preserve"> for the assessment of appropriate estimates and significant assumptions relating to the subsidiaries</w:t>
            </w:r>
            <w:r w:rsidR="00FE2944" w:rsidRPr="00376AA7">
              <w:rPr>
                <w:rFonts w:asciiTheme="majorHAnsi" w:hAnsiTheme="majorHAnsi" w:cstheme="majorHAnsi"/>
                <w:spacing w:val="-4"/>
                <w:szCs w:val="18"/>
                <w:lang w:val="en-US"/>
              </w:rPr>
              <w:t xml:space="preserve"> and associated </w:t>
            </w:r>
            <w:r w:rsidR="00393E51">
              <w:rPr>
                <w:rFonts w:asciiTheme="majorHAnsi" w:hAnsiTheme="majorHAnsi" w:cstheme="majorHAnsi"/>
                <w:spacing w:val="-4"/>
                <w:szCs w:val="18"/>
                <w:lang w:val="en-US"/>
              </w:rPr>
              <w:t xml:space="preserve">and joint control </w:t>
            </w:r>
            <w:r w:rsidR="00FE2944" w:rsidRPr="00376AA7">
              <w:rPr>
                <w:rFonts w:asciiTheme="majorHAnsi" w:hAnsiTheme="majorHAnsi" w:cstheme="majorHAnsi"/>
                <w:spacing w:val="-4"/>
                <w:szCs w:val="18"/>
                <w:lang w:val="en-US"/>
              </w:rPr>
              <w:t>companies</w:t>
            </w:r>
            <w:r w:rsidR="00425006" w:rsidRPr="00376AA7">
              <w:rPr>
                <w:rFonts w:asciiTheme="majorHAnsi" w:hAnsiTheme="majorHAnsi" w:cstheme="majorHAnsi"/>
                <w:spacing w:val="-4"/>
                <w:szCs w:val="18"/>
                <w:lang w:val="en-US"/>
              </w:rPr>
              <w:t>’ ability to operate profitably</w:t>
            </w:r>
            <w:r w:rsidR="00F325DB" w:rsidRPr="00376AA7">
              <w:rPr>
                <w:rFonts w:asciiTheme="majorHAnsi" w:hAnsiTheme="majorHAnsi" w:cstheme="majorHAnsi"/>
                <w:spacing w:val="-4"/>
                <w:szCs w:val="18"/>
                <w:lang w:val="en-US"/>
              </w:rPr>
              <w:t>,</w:t>
            </w:r>
            <w:r w:rsidR="006A0C3F" w:rsidRPr="00376AA7">
              <w:rPr>
                <w:rFonts w:asciiTheme="majorHAnsi" w:hAnsiTheme="majorHAnsi" w:cstheme="majorHAnsi"/>
                <w:spacing w:val="-4"/>
                <w:szCs w:val="18"/>
                <w:lang w:val="en-US"/>
              </w:rPr>
              <w:t xml:space="preserve"> including</w:t>
            </w:r>
            <w:r w:rsidR="00425006" w:rsidRPr="00376AA7">
              <w:rPr>
                <w:rFonts w:asciiTheme="majorHAnsi" w:hAnsiTheme="majorHAnsi" w:cstheme="majorHAnsi"/>
                <w:spacing w:val="-4"/>
                <w:szCs w:val="18"/>
                <w:lang w:val="en-US"/>
              </w:rPr>
              <w:t xml:space="preserve"> their</w:t>
            </w:r>
            <w:r w:rsidR="00181F49" w:rsidRPr="00376AA7">
              <w:rPr>
                <w:rFonts w:asciiTheme="majorHAnsi" w:hAnsiTheme="majorHAnsi" w:cstheme="majorHAnsi"/>
                <w:spacing w:val="-4"/>
                <w:szCs w:val="18"/>
                <w:lang w:val="en-US"/>
              </w:rPr>
              <w:t xml:space="preserve"> future</w:t>
            </w:r>
            <w:r w:rsidR="00425006" w:rsidRPr="00376AA7">
              <w:rPr>
                <w:rFonts w:asciiTheme="majorHAnsi" w:hAnsiTheme="majorHAnsi" w:cstheme="majorHAnsi"/>
                <w:spacing w:val="-4"/>
                <w:szCs w:val="18"/>
                <w:lang w:val="en-US"/>
              </w:rPr>
              <w:t xml:space="preserve"> cash flows</w:t>
            </w:r>
            <w:r w:rsidR="00181F49" w:rsidRPr="00376AA7">
              <w:rPr>
                <w:rFonts w:asciiTheme="majorHAnsi" w:hAnsiTheme="majorHAnsi" w:cstheme="majorHAnsi"/>
                <w:spacing w:val="-4"/>
                <w:szCs w:val="18"/>
                <w:lang w:val="en-US"/>
              </w:rPr>
              <w:t xml:space="preserve"> projection and expenses </w:t>
            </w:r>
            <w:r w:rsidR="00181F49" w:rsidRPr="00376AA7">
              <w:rPr>
                <w:rFonts w:asciiTheme="majorHAnsi" w:hAnsiTheme="majorHAnsi" w:cstheme="majorHAnsi"/>
                <w:szCs w:val="18"/>
                <w:lang w:val="en-US"/>
              </w:rPr>
              <w:t>from the continuing operations of such business</w:t>
            </w:r>
            <w:r w:rsidR="004D62F5" w:rsidRPr="00376AA7">
              <w:rPr>
                <w:rFonts w:asciiTheme="majorHAnsi" w:hAnsiTheme="majorHAnsi" w:cstheme="majorHAnsi"/>
                <w:szCs w:val="18"/>
                <w:lang w:val="en-US"/>
              </w:rPr>
              <w:t>es</w:t>
            </w:r>
            <w:r w:rsidR="00181F49" w:rsidRPr="00376AA7">
              <w:rPr>
                <w:rFonts w:asciiTheme="majorHAnsi" w:hAnsiTheme="majorHAnsi" w:cstheme="majorHAnsi"/>
                <w:szCs w:val="18"/>
                <w:lang w:val="en-US"/>
              </w:rPr>
              <w:t xml:space="preserve"> and the use of the appropriate discount rate to discount cash flows projection</w:t>
            </w:r>
            <w:r w:rsidR="00BB4CE1" w:rsidRPr="00376AA7">
              <w:rPr>
                <w:rFonts w:asciiTheme="majorHAnsi" w:hAnsiTheme="majorHAnsi" w:cstheme="majorHAnsi"/>
                <w:szCs w:val="18"/>
                <w:lang w:val="en-US"/>
              </w:rPr>
              <w:t xml:space="preserve"> </w:t>
            </w:r>
            <w:r w:rsidR="00425006" w:rsidRPr="00376AA7">
              <w:rPr>
                <w:rFonts w:asciiTheme="majorHAnsi" w:hAnsiTheme="majorHAnsi" w:cstheme="majorHAnsi"/>
                <w:spacing w:val="-4"/>
                <w:szCs w:val="18"/>
                <w:lang w:val="en-US"/>
              </w:rPr>
              <w:t xml:space="preserve">used for the calculation of </w:t>
            </w:r>
            <w:r w:rsidR="00315341" w:rsidRPr="00376AA7">
              <w:rPr>
                <w:rFonts w:asciiTheme="majorHAnsi" w:hAnsiTheme="majorHAnsi" w:cstheme="majorHAnsi"/>
                <w:spacing w:val="-4"/>
                <w:szCs w:val="18"/>
                <w:lang w:val="en-US"/>
              </w:rPr>
              <w:t xml:space="preserve">recoverable amount. </w:t>
            </w:r>
          </w:p>
          <w:p w14:paraId="4ABEE539" w14:textId="26D7DF15" w:rsidR="00AF369A" w:rsidRDefault="00723550" w:rsidP="0032246D">
            <w:pPr>
              <w:tabs>
                <w:tab w:val="left" w:pos="450"/>
                <w:tab w:val="left" w:pos="540"/>
              </w:tabs>
              <w:spacing w:line="360" w:lineRule="auto"/>
              <w:jc w:val="thaiDistribute"/>
              <w:rPr>
                <w:rFonts w:asciiTheme="majorHAnsi" w:hAnsiTheme="majorHAnsi" w:cstheme="majorHAnsi"/>
                <w:szCs w:val="18"/>
                <w:lang w:val="en-US"/>
              </w:rPr>
            </w:pPr>
            <w:r w:rsidRPr="00376AA7">
              <w:rPr>
                <w:rFonts w:asciiTheme="majorHAnsi" w:hAnsiTheme="majorHAnsi" w:cstheme="majorHAnsi"/>
                <w:spacing w:val="-4"/>
                <w:szCs w:val="18"/>
                <w:lang w:val="en-US"/>
              </w:rPr>
              <w:t xml:space="preserve">The </w:t>
            </w:r>
            <w:r w:rsidR="00702E35" w:rsidRPr="00376AA7">
              <w:rPr>
                <w:rFonts w:asciiTheme="majorHAnsi" w:hAnsiTheme="majorHAnsi" w:cstheme="majorHAnsi"/>
                <w:spacing w:val="-4"/>
                <w:szCs w:val="18"/>
                <w:lang w:val="en-US"/>
              </w:rPr>
              <w:t>Group</w:t>
            </w:r>
            <w:r w:rsidR="00510271" w:rsidRPr="00376AA7">
              <w:rPr>
                <w:rFonts w:asciiTheme="majorHAnsi" w:hAnsiTheme="majorHAnsi" w:cstheme="minorBidi" w:hint="cs"/>
                <w:spacing w:val="-4"/>
                <w:szCs w:val="22"/>
                <w:cs/>
                <w:lang w:val="en-US" w:bidi="th-TH"/>
              </w:rPr>
              <w:t xml:space="preserve"> </w:t>
            </w:r>
            <w:r w:rsidR="00510271" w:rsidRPr="00376AA7">
              <w:rPr>
                <w:rFonts w:asciiTheme="majorHAnsi" w:hAnsiTheme="majorHAnsi" w:cstheme="minorBidi"/>
                <w:spacing w:val="-4"/>
                <w:szCs w:val="22"/>
                <w:lang w:val="en-US" w:bidi="th-TH"/>
              </w:rPr>
              <w:t>and</w:t>
            </w:r>
            <w:r w:rsidR="00510271" w:rsidRPr="00376AA7">
              <w:rPr>
                <w:rFonts w:asciiTheme="majorHAnsi" w:hAnsiTheme="majorHAnsi" w:cstheme="majorHAnsi"/>
                <w:spacing w:val="-4"/>
                <w:szCs w:val="18"/>
                <w:lang w:val="en-US"/>
              </w:rPr>
              <w:t xml:space="preserve"> the </w:t>
            </w:r>
            <w:r w:rsidRPr="00376AA7">
              <w:rPr>
                <w:rFonts w:asciiTheme="majorHAnsi" w:hAnsiTheme="majorHAnsi" w:cstheme="majorHAnsi"/>
                <w:spacing w:val="-4"/>
                <w:szCs w:val="18"/>
                <w:lang w:val="en-US"/>
              </w:rPr>
              <w:t>Company disclosed</w:t>
            </w:r>
            <w:r w:rsidR="00510271" w:rsidRPr="00376AA7">
              <w:rPr>
                <w:rFonts w:asciiTheme="majorHAnsi" w:hAnsiTheme="majorHAnsi" w:cstheme="majorHAnsi"/>
                <w:spacing w:val="-4"/>
                <w:szCs w:val="18"/>
                <w:lang w:val="en-US"/>
              </w:rPr>
              <w:t xml:space="preserve"> accounting</w:t>
            </w:r>
            <w:r w:rsidR="00510271" w:rsidRPr="00376AA7">
              <w:rPr>
                <w:rFonts w:asciiTheme="majorHAnsi" w:hAnsiTheme="majorHAnsi" w:cstheme="majorHAnsi"/>
                <w:szCs w:val="18"/>
                <w:lang w:val="en-US"/>
              </w:rPr>
              <w:t xml:space="preserve"> policies </w:t>
            </w:r>
            <w:r w:rsidR="000B2B65" w:rsidRPr="00376AA7">
              <w:rPr>
                <w:rFonts w:asciiTheme="majorHAnsi" w:hAnsiTheme="majorHAnsi" w:cstheme="majorHAnsi"/>
                <w:szCs w:val="18"/>
                <w:lang w:val="en-US"/>
              </w:rPr>
              <w:t>and</w:t>
            </w:r>
            <w:r w:rsidRPr="00376AA7">
              <w:rPr>
                <w:rFonts w:asciiTheme="majorHAnsi" w:hAnsiTheme="majorHAnsi" w:cstheme="majorHAnsi"/>
                <w:szCs w:val="18"/>
                <w:lang w:val="en-US"/>
              </w:rPr>
              <w:t xml:space="preserve"> detail of investment</w:t>
            </w:r>
            <w:r w:rsidR="004D62F5" w:rsidRPr="00376AA7">
              <w:rPr>
                <w:rFonts w:asciiTheme="majorHAnsi" w:hAnsiTheme="majorHAnsi" w:cstheme="majorHAnsi"/>
                <w:szCs w:val="18"/>
                <w:lang w:val="en-US"/>
              </w:rPr>
              <w:t>s</w:t>
            </w:r>
            <w:r w:rsidRPr="00376AA7">
              <w:rPr>
                <w:rFonts w:asciiTheme="majorHAnsi" w:hAnsiTheme="majorHAnsi" w:cstheme="majorHAnsi"/>
                <w:szCs w:val="18"/>
                <w:lang w:val="en-US"/>
              </w:rPr>
              <w:t xml:space="preserve"> in subsidiaries</w:t>
            </w:r>
            <w:r w:rsidR="00B50CFF" w:rsidRPr="00376AA7">
              <w:rPr>
                <w:rFonts w:asciiTheme="majorHAnsi" w:hAnsiTheme="majorHAnsi" w:cstheme="majorHAnsi"/>
                <w:szCs w:val="18"/>
                <w:lang w:val="en-US"/>
              </w:rPr>
              <w:t>,</w:t>
            </w:r>
            <w:r w:rsidR="000B2B65" w:rsidRPr="00376AA7">
              <w:rPr>
                <w:rFonts w:asciiTheme="majorHAnsi" w:hAnsiTheme="majorHAnsi" w:cstheme="majorHAnsi"/>
                <w:szCs w:val="18"/>
                <w:lang w:val="en-US"/>
              </w:rPr>
              <w:t xml:space="preserve"> associated </w:t>
            </w:r>
            <w:r w:rsidR="00A049C1">
              <w:rPr>
                <w:rFonts w:asciiTheme="majorHAnsi" w:hAnsiTheme="majorHAnsi" w:cstheme="majorHAnsi"/>
                <w:szCs w:val="18"/>
                <w:lang w:val="en-US"/>
              </w:rPr>
              <w:t>and</w:t>
            </w:r>
            <w:r w:rsidR="00381B2F">
              <w:rPr>
                <w:rFonts w:asciiTheme="majorHAnsi" w:hAnsiTheme="majorHAnsi" w:cstheme="majorHAnsi"/>
                <w:szCs w:val="18"/>
                <w:lang w:val="en-US"/>
              </w:rPr>
              <w:t xml:space="preserve"> joint control compan</w:t>
            </w:r>
            <w:r w:rsidR="00A049C1">
              <w:rPr>
                <w:rFonts w:asciiTheme="majorHAnsi" w:hAnsiTheme="majorHAnsi" w:cstheme="majorHAnsi"/>
                <w:szCs w:val="18"/>
                <w:lang w:val="en-US"/>
              </w:rPr>
              <w:t>ies</w:t>
            </w:r>
            <w:r w:rsidR="00B50CFF" w:rsidRPr="00376AA7">
              <w:rPr>
                <w:rFonts w:asciiTheme="majorHAnsi" w:hAnsiTheme="majorHAnsi" w:cstheme="majorHAnsi"/>
                <w:szCs w:val="18"/>
                <w:lang w:val="en-US"/>
              </w:rPr>
              <w:t xml:space="preserve"> and goodwill</w:t>
            </w:r>
            <w:r w:rsidRPr="00376AA7">
              <w:rPr>
                <w:rFonts w:asciiTheme="majorHAnsi" w:hAnsiTheme="majorHAnsi" w:cstheme="majorHAnsi"/>
                <w:szCs w:val="18"/>
                <w:lang w:val="en-US"/>
              </w:rPr>
              <w:t xml:space="preserve"> in</w:t>
            </w:r>
            <w:r w:rsidR="00A558FE">
              <w:rPr>
                <w:rFonts w:asciiTheme="majorHAnsi" w:hAnsiTheme="majorHAnsi" w:cstheme="majorHAnsi"/>
                <w:szCs w:val="18"/>
                <w:lang w:val="en-US"/>
              </w:rPr>
              <w:t xml:space="preserve"> Notes</w:t>
            </w:r>
            <w:r w:rsidRPr="00376AA7">
              <w:rPr>
                <w:rFonts w:asciiTheme="majorHAnsi" w:hAnsiTheme="majorHAnsi" w:cstheme="majorHAnsi"/>
                <w:szCs w:val="18"/>
                <w:lang w:val="en-US"/>
              </w:rPr>
              <w:t xml:space="preserve"> </w:t>
            </w:r>
            <w:r w:rsidR="002542AB" w:rsidRPr="00376AA7">
              <w:rPr>
                <w:rFonts w:asciiTheme="majorHAnsi" w:hAnsiTheme="majorHAnsi" w:cstheme="majorHAnsi"/>
                <w:szCs w:val="18"/>
                <w:lang w:val="en-US"/>
              </w:rPr>
              <w:t>4</w:t>
            </w:r>
            <w:r w:rsidR="00950CAD" w:rsidRPr="00376AA7">
              <w:rPr>
                <w:rFonts w:asciiTheme="majorHAnsi" w:hAnsiTheme="majorHAnsi" w:cstheme="majorHAnsi"/>
                <w:szCs w:val="18"/>
                <w:lang w:val="en-US"/>
              </w:rPr>
              <w:t xml:space="preserve">, </w:t>
            </w:r>
            <w:r w:rsidRPr="00376AA7">
              <w:rPr>
                <w:rFonts w:asciiTheme="majorHAnsi" w:hAnsiTheme="majorHAnsi" w:cstheme="majorHAnsi"/>
                <w:szCs w:val="18"/>
                <w:lang w:val="en-US"/>
              </w:rPr>
              <w:t>1</w:t>
            </w:r>
            <w:r w:rsidR="00CB3D37" w:rsidRPr="00376AA7">
              <w:rPr>
                <w:rFonts w:asciiTheme="majorHAnsi" w:hAnsiTheme="majorHAnsi" w:cs="Browallia New"/>
                <w:szCs w:val="22"/>
                <w:lang w:val="en-US" w:bidi="th-TH"/>
              </w:rPr>
              <w:t>6</w:t>
            </w:r>
            <w:r w:rsidRPr="00376AA7">
              <w:rPr>
                <w:rFonts w:asciiTheme="majorHAnsi" w:hAnsiTheme="majorHAnsi" w:cstheme="majorHAnsi"/>
                <w:szCs w:val="18"/>
                <w:lang w:val="en-US"/>
              </w:rPr>
              <w:t xml:space="preserve"> </w:t>
            </w:r>
            <w:r w:rsidR="00950CAD" w:rsidRPr="00376AA7">
              <w:rPr>
                <w:rFonts w:asciiTheme="majorHAnsi" w:hAnsiTheme="majorHAnsi" w:cstheme="majorHAnsi"/>
                <w:szCs w:val="18"/>
                <w:lang w:val="en-US"/>
              </w:rPr>
              <w:t>and 2</w:t>
            </w:r>
            <w:r w:rsidR="00CB3D37" w:rsidRPr="00376AA7">
              <w:rPr>
                <w:rFonts w:asciiTheme="majorHAnsi" w:hAnsiTheme="majorHAnsi" w:cstheme="majorHAnsi"/>
                <w:szCs w:val="18"/>
                <w:lang w:val="en-US"/>
              </w:rPr>
              <w:t>5</w:t>
            </w:r>
            <w:r w:rsidR="00950CAD" w:rsidRPr="00376AA7">
              <w:rPr>
                <w:rFonts w:asciiTheme="majorHAnsi" w:hAnsiTheme="majorHAnsi" w:cstheme="majorHAnsi"/>
                <w:szCs w:val="18"/>
                <w:lang w:val="en-US"/>
              </w:rPr>
              <w:t xml:space="preserve"> </w:t>
            </w:r>
            <w:r w:rsidRPr="00376AA7">
              <w:rPr>
                <w:rFonts w:asciiTheme="majorHAnsi" w:hAnsiTheme="majorHAnsi" w:cstheme="majorHAnsi"/>
                <w:szCs w:val="18"/>
                <w:lang w:val="en-US"/>
              </w:rPr>
              <w:t>to financial statements.</w:t>
            </w:r>
          </w:p>
          <w:p w14:paraId="18AC2DCB" w14:textId="77777777" w:rsidR="00A558FE" w:rsidRDefault="00A558FE" w:rsidP="0032246D">
            <w:pPr>
              <w:tabs>
                <w:tab w:val="left" w:pos="450"/>
                <w:tab w:val="left" w:pos="540"/>
              </w:tabs>
              <w:spacing w:line="360" w:lineRule="auto"/>
              <w:jc w:val="thaiDistribute"/>
              <w:rPr>
                <w:rFonts w:asciiTheme="majorHAnsi" w:hAnsiTheme="majorHAnsi" w:cstheme="majorHAnsi"/>
                <w:szCs w:val="18"/>
                <w:lang w:val="en-US"/>
              </w:rPr>
            </w:pPr>
          </w:p>
          <w:p w14:paraId="70ECE6ED" w14:textId="77777777" w:rsidR="00A558FE" w:rsidRDefault="00A558FE" w:rsidP="0032246D">
            <w:pPr>
              <w:tabs>
                <w:tab w:val="left" w:pos="450"/>
                <w:tab w:val="left" w:pos="540"/>
              </w:tabs>
              <w:spacing w:line="360" w:lineRule="auto"/>
              <w:jc w:val="thaiDistribute"/>
              <w:rPr>
                <w:rFonts w:asciiTheme="majorHAnsi" w:hAnsiTheme="majorHAnsi" w:cstheme="majorHAnsi"/>
                <w:szCs w:val="18"/>
                <w:lang w:val="en-US"/>
              </w:rPr>
            </w:pPr>
          </w:p>
          <w:p w14:paraId="5810B1E0" w14:textId="77777777" w:rsidR="00A558FE" w:rsidRDefault="00A558FE" w:rsidP="0032246D">
            <w:pPr>
              <w:tabs>
                <w:tab w:val="left" w:pos="450"/>
                <w:tab w:val="left" w:pos="540"/>
              </w:tabs>
              <w:spacing w:line="360" w:lineRule="auto"/>
              <w:jc w:val="thaiDistribute"/>
              <w:rPr>
                <w:rFonts w:asciiTheme="majorHAnsi" w:hAnsiTheme="majorHAnsi" w:cstheme="majorHAnsi"/>
                <w:szCs w:val="18"/>
                <w:lang w:val="en-US"/>
              </w:rPr>
            </w:pPr>
          </w:p>
          <w:p w14:paraId="6725B5EF" w14:textId="77777777" w:rsidR="00A558FE" w:rsidRDefault="00A558FE" w:rsidP="0032246D">
            <w:pPr>
              <w:tabs>
                <w:tab w:val="left" w:pos="450"/>
                <w:tab w:val="left" w:pos="540"/>
              </w:tabs>
              <w:spacing w:line="360" w:lineRule="auto"/>
              <w:jc w:val="thaiDistribute"/>
              <w:rPr>
                <w:rFonts w:asciiTheme="majorHAnsi" w:hAnsiTheme="majorHAnsi" w:cstheme="majorHAnsi"/>
                <w:szCs w:val="18"/>
                <w:lang w:val="en-US"/>
              </w:rPr>
            </w:pPr>
          </w:p>
          <w:p w14:paraId="14DBB875" w14:textId="0D56438A" w:rsidR="00A558FE" w:rsidRDefault="00A558FE" w:rsidP="0032246D">
            <w:pPr>
              <w:tabs>
                <w:tab w:val="left" w:pos="450"/>
                <w:tab w:val="left" w:pos="540"/>
              </w:tabs>
              <w:spacing w:line="360" w:lineRule="auto"/>
              <w:jc w:val="thaiDistribute"/>
              <w:rPr>
                <w:rFonts w:asciiTheme="majorHAnsi" w:hAnsiTheme="majorHAnsi" w:cstheme="majorHAnsi"/>
                <w:szCs w:val="18"/>
                <w:lang w:val="en-US"/>
              </w:rPr>
            </w:pPr>
          </w:p>
          <w:p w14:paraId="4169C3EC" w14:textId="118E16D2" w:rsidR="00514B59" w:rsidRDefault="00514B59" w:rsidP="0032246D">
            <w:pPr>
              <w:tabs>
                <w:tab w:val="left" w:pos="450"/>
                <w:tab w:val="left" w:pos="540"/>
              </w:tabs>
              <w:spacing w:line="360" w:lineRule="auto"/>
              <w:jc w:val="thaiDistribute"/>
              <w:rPr>
                <w:rFonts w:asciiTheme="majorHAnsi" w:hAnsiTheme="majorHAnsi" w:cstheme="majorHAnsi"/>
                <w:szCs w:val="18"/>
                <w:lang w:val="en-US"/>
              </w:rPr>
            </w:pPr>
          </w:p>
          <w:p w14:paraId="130E20DA" w14:textId="200F0544" w:rsidR="00514B59" w:rsidRDefault="00514B59" w:rsidP="0032246D">
            <w:pPr>
              <w:tabs>
                <w:tab w:val="left" w:pos="450"/>
                <w:tab w:val="left" w:pos="540"/>
              </w:tabs>
              <w:spacing w:line="360" w:lineRule="auto"/>
              <w:jc w:val="thaiDistribute"/>
              <w:rPr>
                <w:rFonts w:asciiTheme="majorHAnsi" w:hAnsiTheme="majorHAnsi" w:cstheme="majorHAnsi"/>
                <w:szCs w:val="18"/>
                <w:lang w:val="en-US"/>
              </w:rPr>
            </w:pPr>
          </w:p>
          <w:p w14:paraId="7B49D2C6" w14:textId="77777777" w:rsidR="00514B59" w:rsidRDefault="00514B59" w:rsidP="0032246D">
            <w:pPr>
              <w:tabs>
                <w:tab w:val="left" w:pos="450"/>
                <w:tab w:val="left" w:pos="540"/>
              </w:tabs>
              <w:spacing w:line="360" w:lineRule="auto"/>
              <w:jc w:val="thaiDistribute"/>
              <w:rPr>
                <w:rFonts w:asciiTheme="majorHAnsi" w:hAnsiTheme="majorHAnsi" w:cstheme="majorHAnsi"/>
                <w:szCs w:val="18"/>
                <w:lang w:val="en-US"/>
              </w:rPr>
            </w:pPr>
          </w:p>
          <w:p w14:paraId="7D504E39" w14:textId="77777777" w:rsidR="00E279AF" w:rsidRDefault="00E279AF" w:rsidP="0032246D">
            <w:pPr>
              <w:tabs>
                <w:tab w:val="left" w:pos="450"/>
                <w:tab w:val="left" w:pos="540"/>
              </w:tabs>
              <w:spacing w:line="360" w:lineRule="auto"/>
              <w:jc w:val="thaiDistribute"/>
              <w:rPr>
                <w:rFonts w:asciiTheme="majorHAnsi" w:hAnsiTheme="majorHAnsi" w:cstheme="majorHAnsi"/>
                <w:szCs w:val="18"/>
                <w:lang w:val="en-US"/>
              </w:rPr>
            </w:pPr>
          </w:p>
          <w:p w14:paraId="297A6AAA" w14:textId="12FB61BE" w:rsidR="000B05F2" w:rsidRPr="00376AA7" w:rsidRDefault="000B05F2" w:rsidP="0032246D">
            <w:pPr>
              <w:tabs>
                <w:tab w:val="left" w:pos="450"/>
                <w:tab w:val="left" w:pos="540"/>
              </w:tabs>
              <w:spacing w:line="360" w:lineRule="auto"/>
              <w:jc w:val="thaiDistribute"/>
              <w:rPr>
                <w:rFonts w:asciiTheme="majorHAnsi" w:hAnsiTheme="majorHAnsi" w:cstheme="majorHAnsi"/>
                <w:szCs w:val="18"/>
                <w:rtl/>
                <w:cs/>
                <w:lang w:val="en-US"/>
              </w:rPr>
            </w:pPr>
          </w:p>
        </w:tc>
        <w:tc>
          <w:tcPr>
            <w:tcW w:w="4253" w:type="dxa"/>
            <w:tcBorders>
              <w:top w:val="single" w:sz="4" w:space="0" w:color="auto"/>
              <w:bottom w:val="single" w:sz="4" w:space="0" w:color="auto"/>
            </w:tcBorders>
            <w:shd w:val="clear" w:color="auto" w:fill="auto"/>
          </w:tcPr>
          <w:p w14:paraId="2A243DAA" w14:textId="77777777" w:rsidR="00723550" w:rsidRPr="00376AA7" w:rsidRDefault="00723550" w:rsidP="002E39DE">
            <w:pPr>
              <w:autoSpaceDE w:val="0"/>
              <w:autoSpaceDN w:val="0"/>
              <w:spacing w:after="0" w:line="360" w:lineRule="auto"/>
              <w:ind w:left="258"/>
              <w:jc w:val="both"/>
              <w:rPr>
                <w:rFonts w:asciiTheme="majorHAnsi" w:hAnsiTheme="majorHAnsi" w:cstheme="majorHAnsi"/>
                <w:szCs w:val="18"/>
                <w:lang w:val="en-US"/>
              </w:rPr>
            </w:pPr>
          </w:p>
          <w:p w14:paraId="44F8CFC4" w14:textId="1DCBAFCE" w:rsidR="00723550" w:rsidRPr="00376AA7" w:rsidRDefault="00723550" w:rsidP="002E39DE">
            <w:pPr>
              <w:autoSpaceDE w:val="0"/>
              <w:autoSpaceDN w:val="0"/>
              <w:spacing w:after="0" w:line="360" w:lineRule="auto"/>
              <w:jc w:val="both"/>
              <w:rPr>
                <w:rFonts w:asciiTheme="majorHAnsi" w:hAnsiTheme="majorHAnsi" w:cstheme="majorHAnsi"/>
                <w:szCs w:val="18"/>
                <w:lang w:val="en-US"/>
              </w:rPr>
            </w:pPr>
            <w:r w:rsidRPr="00376AA7">
              <w:rPr>
                <w:rFonts w:asciiTheme="majorHAnsi" w:hAnsiTheme="majorHAnsi" w:cstheme="majorHAnsi"/>
                <w:szCs w:val="18"/>
                <w:lang w:val="en-US"/>
              </w:rPr>
              <w:t xml:space="preserve">My audit procedures are summarized below: </w:t>
            </w:r>
          </w:p>
          <w:p w14:paraId="07E609B7" w14:textId="28C0E20A" w:rsidR="00723550" w:rsidRPr="002E39DE" w:rsidRDefault="00723550" w:rsidP="002E39DE">
            <w:pPr>
              <w:tabs>
                <w:tab w:val="left" w:pos="540"/>
              </w:tabs>
              <w:spacing w:after="0" w:line="360" w:lineRule="auto"/>
              <w:ind w:left="258"/>
              <w:jc w:val="both"/>
              <w:rPr>
                <w:rFonts w:asciiTheme="majorHAnsi" w:hAnsiTheme="majorHAnsi" w:cstheme="majorHAnsi"/>
                <w:szCs w:val="18"/>
                <w:lang w:val="en-US"/>
              </w:rPr>
            </w:pPr>
          </w:p>
          <w:p w14:paraId="0AAC53B5" w14:textId="183A5F30" w:rsidR="00DE0197" w:rsidRDefault="00DE0197" w:rsidP="002E39DE">
            <w:pPr>
              <w:tabs>
                <w:tab w:val="left" w:pos="540"/>
              </w:tabs>
              <w:spacing w:after="0" w:line="360" w:lineRule="auto"/>
              <w:ind w:left="258"/>
              <w:jc w:val="both"/>
              <w:rPr>
                <w:rFonts w:asciiTheme="majorHAnsi" w:hAnsiTheme="majorHAnsi" w:cstheme="majorHAnsi"/>
                <w:szCs w:val="18"/>
                <w:lang w:val="en-US"/>
              </w:rPr>
            </w:pPr>
          </w:p>
          <w:p w14:paraId="12627E8B" w14:textId="679D669F" w:rsidR="000B7320" w:rsidRDefault="000B7320" w:rsidP="002E39DE">
            <w:pPr>
              <w:tabs>
                <w:tab w:val="left" w:pos="540"/>
              </w:tabs>
              <w:spacing w:after="0" w:line="360" w:lineRule="auto"/>
              <w:ind w:left="258"/>
              <w:jc w:val="both"/>
              <w:rPr>
                <w:rFonts w:asciiTheme="majorHAnsi" w:hAnsiTheme="majorHAnsi" w:cstheme="majorHAnsi"/>
                <w:szCs w:val="18"/>
                <w:lang w:val="en-US"/>
              </w:rPr>
            </w:pPr>
          </w:p>
          <w:p w14:paraId="1C76D095" w14:textId="77777777" w:rsidR="000B7320" w:rsidRPr="000B7320" w:rsidRDefault="000B7320" w:rsidP="002E39DE">
            <w:pPr>
              <w:tabs>
                <w:tab w:val="left" w:pos="540"/>
              </w:tabs>
              <w:spacing w:after="0" w:line="360" w:lineRule="auto"/>
              <w:ind w:left="258"/>
              <w:jc w:val="both"/>
              <w:rPr>
                <w:rFonts w:asciiTheme="majorHAnsi" w:hAnsiTheme="majorHAnsi" w:cstheme="majorHAnsi"/>
                <w:sz w:val="14"/>
                <w:szCs w:val="14"/>
                <w:lang w:val="en-US"/>
              </w:rPr>
            </w:pPr>
          </w:p>
          <w:p w14:paraId="2CB78425" w14:textId="77777777" w:rsidR="00B808AD" w:rsidRPr="002E39DE" w:rsidRDefault="00B808AD" w:rsidP="002E39DE">
            <w:pPr>
              <w:tabs>
                <w:tab w:val="left" w:pos="540"/>
              </w:tabs>
              <w:spacing w:after="0" w:line="360" w:lineRule="auto"/>
              <w:ind w:left="258"/>
              <w:jc w:val="both"/>
              <w:rPr>
                <w:rFonts w:asciiTheme="majorHAnsi" w:hAnsiTheme="majorHAnsi" w:cstheme="majorHAnsi"/>
                <w:szCs w:val="18"/>
                <w:lang w:val="en-US"/>
              </w:rPr>
            </w:pPr>
          </w:p>
          <w:p w14:paraId="1F0F5A18" w14:textId="52FD83BB" w:rsidR="00723550" w:rsidRPr="00CC64F0" w:rsidRDefault="00723550" w:rsidP="00FC1B82">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CC64F0">
              <w:rPr>
                <w:rFonts w:asciiTheme="majorHAnsi" w:hAnsiTheme="majorHAnsi" w:cstheme="majorHAnsi"/>
                <w:szCs w:val="18"/>
                <w:lang w:val="en-US"/>
              </w:rPr>
              <w:t xml:space="preserve">Obtained an understanding of the process for </w:t>
            </w:r>
            <w:r w:rsidRPr="00E279AF">
              <w:rPr>
                <w:rFonts w:asciiTheme="majorHAnsi" w:hAnsiTheme="majorHAnsi" w:cstheme="majorHAnsi"/>
                <w:spacing w:val="-8"/>
                <w:szCs w:val="18"/>
                <w:lang w:val="en-US"/>
              </w:rPr>
              <w:t>assessment of recoverable amounts of investments</w:t>
            </w:r>
            <w:r w:rsidRPr="00CC64F0">
              <w:rPr>
                <w:rFonts w:asciiTheme="majorHAnsi" w:hAnsiTheme="majorHAnsi" w:cstheme="majorHAnsi"/>
                <w:szCs w:val="18"/>
                <w:rtl/>
                <w:cs/>
                <w:lang w:val="en-US"/>
              </w:rPr>
              <w:t xml:space="preserve"> </w:t>
            </w:r>
            <w:r w:rsidRPr="00E279AF">
              <w:rPr>
                <w:rFonts w:asciiTheme="majorHAnsi" w:hAnsiTheme="majorHAnsi" w:cstheme="majorHAnsi"/>
                <w:spacing w:val="-4"/>
                <w:szCs w:val="18"/>
                <w:lang w:val="en-US"/>
              </w:rPr>
              <w:t>in subsidiaries</w:t>
            </w:r>
            <w:r w:rsidR="009D06AB" w:rsidRPr="00E279AF">
              <w:rPr>
                <w:rFonts w:asciiTheme="majorHAnsi" w:hAnsiTheme="majorHAnsi" w:cstheme="majorHAnsi"/>
                <w:spacing w:val="-4"/>
                <w:szCs w:val="18"/>
                <w:lang w:val="en-US"/>
              </w:rPr>
              <w:t xml:space="preserve">, associated </w:t>
            </w:r>
            <w:proofErr w:type="gramStart"/>
            <w:r w:rsidR="009D06AB" w:rsidRPr="00E279AF">
              <w:rPr>
                <w:rFonts w:asciiTheme="majorHAnsi" w:hAnsiTheme="majorHAnsi" w:cstheme="majorHAnsi"/>
                <w:spacing w:val="-4"/>
                <w:szCs w:val="18"/>
                <w:lang w:val="en-US"/>
              </w:rPr>
              <w:t>companies</w:t>
            </w:r>
            <w:proofErr w:type="gramEnd"/>
            <w:r w:rsidR="009D06AB" w:rsidRPr="00E279AF">
              <w:rPr>
                <w:rFonts w:asciiTheme="majorHAnsi" w:hAnsiTheme="majorHAnsi" w:cstheme="majorHAnsi"/>
                <w:spacing w:val="-4"/>
                <w:szCs w:val="18"/>
                <w:lang w:val="en-US"/>
              </w:rPr>
              <w:t xml:space="preserve"> </w:t>
            </w:r>
            <w:r w:rsidRPr="00E279AF">
              <w:rPr>
                <w:rFonts w:asciiTheme="majorHAnsi" w:hAnsiTheme="majorHAnsi" w:cstheme="majorHAnsi"/>
                <w:spacing w:val="-4"/>
                <w:szCs w:val="18"/>
                <w:lang w:val="en-US"/>
              </w:rPr>
              <w:t>and group</w:t>
            </w:r>
            <w:r w:rsidRPr="00CC64F0">
              <w:rPr>
                <w:rFonts w:asciiTheme="majorHAnsi" w:hAnsiTheme="majorHAnsi" w:cstheme="majorHAnsi"/>
                <w:szCs w:val="18"/>
                <w:lang w:val="en-US"/>
              </w:rPr>
              <w:t xml:space="preserve"> of business units.</w:t>
            </w:r>
          </w:p>
          <w:p w14:paraId="2B000F6E" w14:textId="7A667479" w:rsidR="00723550" w:rsidRPr="00CC64F0" w:rsidRDefault="00723550" w:rsidP="00FC1B82">
            <w:pPr>
              <w:pStyle w:val="ListParagraph"/>
              <w:numPr>
                <w:ilvl w:val="0"/>
                <w:numId w:val="21"/>
              </w:numPr>
              <w:tabs>
                <w:tab w:val="left" w:pos="316"/>
              </w:tabs>
              <w:autoSpaceDE w:val="0"/>
              <w:autoSpaceDN w:val="0"/>
              <w:adjustRightInd w:val="0"/>
              <w:spacing w:after="0" w:line="360" w:lineRule="auto"/>
              <w:ind w:left="258" w:hanging="258"/>
              <w:jc w:val="thaiDistribute"/>
              <w:rPr>
                <w:rFonts w:asciiTheme="majorHAnsi" w:hAnsiTheme="majorHAnsi" w:cstheme="majorHAnsi"/>
                <w:szCs w:val="18"/>
                <w:lang w:val="en-US"/>
              </w:rPr>
            </w:pPr>
            <w:r w:rsidRPr="00CC64F0">
              <w:rPr>
                <w:rFonts w:asciiTheme="majorHAnsi" w:hAnsiTheme="majorHAnsi" w:cstheme="majorHAnsi"/>
                <w:szCs w:val="18"/>
                <w:lang w:val="en-US"/>
              </w:rPr>
              <w:t xml:space="preserve">Considered the indication of impairment for </w:t>
            </w:r>
            <w:r w:rsidRPr="00E279AF">
              <w:rPr>
                <w:rFonts w:asciiTheme="majorHAnsi" w:hAnsiTheme="majorHAnsi" w:cstheme="majorHAnsi"/>
                <w:spacing w:val="-6"/>
                <w:szCs w:val="18"/>
                <w:lang w:val="en-US"/>
              </w:rPr>
              <w:t>investments in subsidiaries</w:t>
            </w:r>
            <w:r w:rsidR="00BB2A9D" w:rsidRPr="00E279AF">
              <w:rPr>
                <w:rFonts w:asciiTheme="majorHAnsi" w:hAnsiTheme="majorHAnsi" w:cstheme="majorHAnsi"/>
                <w:spacing w:val="-6"/>
                <w:szCs w:val="18"/>
                <w:lang w:val="en-US"/>
              </w:rPr>
              <w:t>,</w:t>
            </w:r>
            <w:r w:rsidR="007F1266" w:rsidRPr="00E279AF">
              <w:rPr>
                <w:rFonts w:asciiTheme="majorHAnsi" w:hAnsiTheme="majorHAnsi" w:cstheme="majorHAnsi"/>
                <w:spacing w:val="-6"/>
                <w:szCs w:val="18"/>
                <w:lang w:val="en-US"/>
              </w:rPr>
              <w:t xml:space="preserve"> </w:t>
            </w:r>
            <w:r w:rsidR="00BB2A9D" w:rsidRPr="00E279AF">
              <w:rPr>
                <w:rFonts w:asciiTheme="majorHAnsi" w:hAnsiTheme="majorHAnsi" w:cstheme="majorHAnsi"/>
                <w:spacing w:val="-6"/>
                <w:szCs w:val="18"/>
                <w:lang w:val="en-US"/>
              </w:rPr>
              <w:t>associated companies</w:t>
            </w:r>
            <w:r w:rsidR="004D62F5" w:rsidRPr="00E279AF">
              <w:rPr>
                <w:rFonts w:asciiTheme="majorHAnsi" w:hAnsiTheme="majorHAnsi" w:cstheme="majorHAnsi"/>
                <w:spacing w:val="-6"/>
                <w:szCs w:val="18"/>
                <w:lang w:val="en-US"/>
              </w:rPr>
              <w:t>,</w:t>
            </w:r>
            <w:r w:rsidRPr="00CC64F0">
              <w:rPr>
                <w:rFonts w:asciiTheme="majorHAnsi" w:hAnsiTheme="majorHAnsi" w:cstheme="majorHAnsi"/>
                <w:szCs w:val="18"/>
                <w:lang w:val="en-US"/>
              </w:rPr>
              <w:t xml:space="preserve"> and goodwill of each business unit.</w:t>
            </w:r>
          </w:p>
          <w:p w14:paraId="4C0F2EFC" w14:textId="783E8A2B" w:rsidR="00723550" w:rsidRPr="002E39DE" w:rsidRDefault="00723550" w:rsidP="00FC1B82">
            <w:pPr>
              <w:pStyle w:val="ListParagraph"/>
              <w:numPr>
                <w:ilvl w:val="0"/>
                <w:numId w:val="21"/>
              </w:numPr>
              <w:tabs>
                <w:tab w:val="left" w:pos="316"/>
              </w:tabs>
              <w:autoSpaceDE w:val="0"/>
              <w:autoSpaceDN w:val="0"/>
              <w:adjustRightInd w:val="0"/>
              <w:spacing w:after="0" w:line="360" w:lineRule="auto"/>
              <w:ind w:left="258" w:hanging="258"/>
              <w:jc w:val="thaiDistribute"/>
              <w:rPr>
                <w:rFonts w:asciiTheme="majorHAnsi" w:hAnsiTheme="majorHAnsi" w:cstheme="majorHAnsi"/>
                <w:szCs w:val="18"/>
                <w:lang w:val="en-US"/>
              </w:rPr>
            </w:pPr>
            <w:r w:rsidRPr="00E279AF">
              <w:rPr>
                <w:rFonts w:asciiTheme="majorHAnsi" w:hAnsiTheme="majorHAnsi" w:cstheme="majorHAnsi"/>
                <w:spacing w:val="-6"/>
                <w:szCs w:val="18"/>
                <w:lang w:val="en-US"/>
              </w:rPr>
              <w:t>Considered the reasonableness of management’s</w:t>
            </w:r>
            <w:r w:rsidRPr="00CC64F0">
              <w:rPr>
                <w:rFonts w:asciiTheme="majorHAnsi" w:hAnsiTheme="majorHAnsi" w:cstheme="majorHAnsi"/>
                <w:szCs w:val="18"/>
                <w:lang w:val="en-US"/>
              </w:rPr>
              <w:t xml:space="preserve"> assumptions and procedures for calculation of cash flow projections</w:t>
            </w:r>
            <w:r w:rsidR="00766F8A" w:rsidRPr="00CC64F0">
              <w:rPr>
                <w:rFonts w:asciiTheme="majorHAnsi" w:hAnsiTheme="majorHAnsi" w:cstheme="majorHAnsi"/>
                <w:szCs w:val="18"/>
                <w:lang w:val="en-US"/>
              </w:rPr>
              <w:t xml:space="preserve"> including </w:t>
            </w:r>
            <w:r w:rsidR="004D62F5" w:rsidRPr="00CC64F0">
              <w:rPr>
                <w:rFonts w:asciiTheme="majorHAnsi" w:hAnsiTheme="majorHAnsi" w:cstheme="majorHAnsi"/>
                <w:szCs w:val="18"/>
                <w:lang w:val="en-US"/>
              </w:rPr>
              <w:t xml:space="preserve">the tests </w:t>
            </w:r>
            <w:r w:rsidR="007F1266" w:rsidRPr="00CC64F0">
              <w:rPr>
                <w:rFonts w:asciiTheme="majorHAnsi" w:hAnsiTheme="majorHAnsi" w:cstheme="majorHAnsi"/>
                <w:szCs w:val="18"/>
                <w:lang w:val="en-US"/>
              </w:rPr>
              <w:t>of documents</w:t>
            </w:r>
            <w:r w:rsidRPr="00CC64F0">
              <w:rPr>
                <w:rFonts w:asciiTheme="majorHAnsi" w:hAnsiTheme="majorHAnsi" w:cstheme="majorHAnsi"/>
                <w:szCs w:val="18"/>
                <w:lang w:val="en-US"/>
              </w:rPr>
              <w:t xml:space="preserve"> supporting the best estimates of management, especially the projected growth in</w:t>
            </w:r>
            <w:r w:rsidRPr="002E39DE">
              <w:rPr>
                <w:rFonts w:asciiTheme="majorHAnsi" w:hAnsiTheme="majorHAnsi" w:cstheme="majorHAnsi"/>
                <w:szCs w:val="18"/>
                <w:lang w:val="en-US"/>
              </w:rPr>
              <w:t xml:space="preserve"> revenues, gross margins and operating net income of subsidiaries and business units.</w:t>
            </w:r>
          </w:p>
          <w:p w14:paraId="1247904E" w14:textId="1C3D7F17" w:rsidR="002723A4" w:rsidRPr="002E39DE" w:rsidRDefault="002723A4" w:rsidP="00FC1B82">
            <w:pPr>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p w14:paraId="7E414A07" w14:textId="29C1E2FC" w:rsidR="002723A4" w:rsidRPr="002E39DE" w:rsidRDefault="002723A4" w:rsidP="00FC1B82">
            <w:pPr>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p w14:paraId="0E2D9B84" w14:textId="181B53A3" w:rsidR="002723A4" w:rsidRPr="002F27AA" w:rsidRDefault="002723A4" w:rsidP="00FC1B82">
            <w:pPr>
              <w:tabs>
                <w:tab w:val="left" w:pos="316"/>
              </w:tabs>
              <w:autoSpaceDE w:val="0"/>
              <w:autoSpaceDN w:val="0"/>
              <w:adjustRightInd w:val="0"/>
              <w:spacing w:after="0" w:line="360" w:lineRule="auto"/>
              <w:ind w:left="258"/>
              <w:jc w:val="both"/>
              <w:rPr>
                <w:rFonts w:asciiTheme="majorHAnsi" w:hAnsiTheme="majorHAnsi" w:cstheme="majorHAnsi"/>
                <w:sz w:val="24"/>
                <w:szCs w:val="24"/>
                <w:lang w:val="en-US"/>
              </w:rPr>
            </w:pPr>
          </w:p>
          <w:p w14:paraId="1F23D0BC" w14:textId="6941FD8A" w:rsidR="004D734F" w:rsidRPr="00772459" w:rsidRDefault="004D734F" w:rsidP="00FC1B82">
            <w:pPr>
              <w:pStyle w:val="ListParagraph"/>
              <w:tabs>
                <w:tab w:val="left" w:pos="316"/>
              </w:tabs>
              <w:autoSpaceDE w:val="0"/>
              <w:autoSpaceDN w:val="0"/>
              <w:adjustRightInd w:val="0"/>
              <w:spacing w:after="0" w:line="360" w:lineRule="auto"/>
              <w:ind w:left="258"/>
              <w:jc w:val="both"/>
              <w:rPr>
                <w:rFonts w:asciiTheme="majorHAnsi" w:hAnsiTheme="majorHAnsi" w:cstheme="majorHAnsi"/>
                <w:sz w:val="24"/>
                <w:szCs w:val="24"/>
                <w:lang w:val="en-US"/>
              </w:rPr>
            </w:pPr>
          </w:p>
          <w:p w14:paraId="23A890AB" w14:textId="0F358FA0" w:rsidR="00E279AF" w:rsidRDefault="00E279AF" w:rsidP="00FC1B82">
            <w:pPr>
              <w:pStyle w:val="ListParagraph"/>
              <w:tabs>
                <w:tab w:val="left" w:pos="316"/>
              </w:tabs>
              <w:autoSpaceDE w:val="0"/>
              <w:autoSpaceDN w:val="0"/>
              <w:adjustRightInd w:val="0"/>
              <w:spacing w:after="0" w:line="360" w:lineRule="auto"/>
              <w:ind w:left="258"/>
              <w:jc w:val="both"/>
              <w:rPr>
                <w:rFonts w:asciiTheme="majorHAnsi" w:hAnsiTheme="majorHAnsi" w:cstheme="majorHAnsi"/>
                <w:sz w:val="20"/>
                <w:lang w:val="en-US"/>
              </w:rPr>
            </w:pPr>
          </w:p>
          <w:p w14:paraId="14D3B642" w14:textId="77777777" w:rsidR="00514B59" w:rsidRPr="00514B59" w:rsidRDefault="00514B59" w:rsidP="00FC1B82">
            <w:pPr>
              <w:pStyle w:val="ListParagraph"/>
              <w:tabs>
                <w:tab w:val="left" w:pos="316"/>
              </w:tabs>
              <w:autoSpaceDE w:val="0"/>
              <w:autoSpaceDN w:val="0"/>
              <w:adjustRightInd w:val="0"/>
              <w:spacing w:after="0" w:line="360" w:lineRule="auto"/>
              <w:ind w:left="258"/>
              <w:jc w:val="both"/>
              <w:rPr>
                <w:rFonts w:asciiTheme="majorHAnsi" w:hAnsiTheme="majorHAnsi" w:cstheme="majorHAnsi"/>
                <w:sz w:val="24"/>
                <w:szCs w:val="24"/>
                <w:lang w:val="en-US"/>
              </w:rPr>
            </w:pPr>
          </w:p>
          <w:p w14:paraId="3E5A7263" w14:textId="2E2E7B38" w:rsidR="00723550" w:rsidRPr="002E39DE" w:rsidRDefault="0072355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E39DE">
              <w:rPr>
                <w:rFonts w:asciiTheme="majorHAnsi" w:hAnsiTheme="majorHAnsi" w:cstheme="majorHAnsi"/>
                <w:szCs w:val="18"/>
                <w:lang w:val="en-US"/>
              </w:rPr>
              <w:t>Tested the calculation and assess the appropriateness of discount rate</w:t>
            </w:r>
            <w:r w:rsidR="0041620E" w:rsidRPr="002E39DE">
              <w:rPr>
                <w:rFonts w:asciiTheme="majorHAnsi" w:hAnsiTheme="majorHAnsi" w:cstheme="majorHAnsi"/>
                <w:szCs w:val="18"/>
                <w:lang w:val="en-US"/>
              </w:rPr>
              <w:t>s</w:t>
            </w:r>
            <w:r w:rsidRPr="002E39DE">
              <w:rPr>
                <w:rFonts w:asciiTheme="majorHAnsi" w:hAnsiTheme="majorHAnsi" w:cstheme="majorHAnsi"/>
                <w:szCs w:val="18"/>
                <w:lang w:val="en-US"/>
              </w:rPr>
              <w:t xml:space="preserve"> used by management</w:t>
            </w:r>
            <w:r w:rsidR="008322C7" w:rsidRPr="002E39DE">
              <w:rPr>
                <w:rFonts w:asciiTheme="majorHAnsi" w:hAnsiTheme="majorHAnsi" w:cstheme="majorHAnsi"/>
                <w:szCs w:val="18"/>
                <w:lang w:val="en-US"/>
              </w:rPr>
              <w:t xml:space="preserve"> </w:t>
            </w:r>
            <w:r w:rsidRPr="002E39DE">
              <w:rPr>
                <w:rFonts w:asciiTheme="majorHAnsi" w:hAnsiTheme="majorHAnsi" w:cstheme="majorHAnsi"/>
                <w:szCs w:val="18"/>
                <w:lang w:val="en-US"/>
              </w:rPr>
              <w:t>for</w:t>
            </w:r>
            <w:r w:rsidRPr="002E39DE">
              <w:rPr>
                <w:rFonts w:asciiTheme="majorHAnsi" w:hAnsiTheme="majorHAnsi" w:cstheme="majorHAnsi"/>
                <w:szCs w:val="18"/>
                <w:rtl/>
                <w:cs/>
                <w:lang w:val="en-US"/>
              </w:rPr>
              <w:t xml:space="preserve"> </w:t>
            </w:r>
            <w:r w:rsidRPr="002E39DE">
              <w:rPr>
                <w:rFonts w:asciiTheme="majorHAnsi" w:hAnsiTheme="majorHAnsi" w:cstheme="majorHAnsi"/>
                <w:szCs w:val="18"/>
                <w:lang w:val="en-US"/>
              </w:rPr>
              <w:t>the</w:t>
            </w:r>
            <w:r w:rsidRPr="002E39DE">
              <w:rPr>
                <w:rFonts w:asciiTheme="majorHAnsi" w:hAnsiTheme="majorHAnsi" w:cstheme="majorHAnsi"/>
                <w:szCs w:val="18"/>
                <w:rtl/>
                <w:cs/>
                <w:lang w:val="en-US"/>
              </w:rPr>
              <w:t xml:space="preserve"> </w:t>
            </w:r>
            <w:r w:rsidRPr="002E39DE">
              <w:rPr>
                <w:rFonts w:asciiTheme="majorHAnsi" w:hAnsiTheme="majorHAnsi" w:cstheme="majorHAnsi"/>
                <w:szCs w:val="18"/>
                <w:lang w:val="en-US"/>
              </w:rPr>
              <w:t>recoverable</w:t>
            </w:r>
            <w:r w:rsidRPr="002E39DE">
              <w:rPr>
                <w:rFonts w:asciiTheme="majorHAnsi" w:hAnsiTheme="majorHAnsi" w:cstheme="majorHAnsi"/>
                <w:szCs w:val="18"/>
                <w:rtl/>
                <w:cs/>
                <w:lang w:val="en-US"/>
              </w:rPr>
              <w:t xml:space="preserve"> </w:t>
            </w:r>
            <w:r w:rsidRPr="002E39DE">
              <w:rPr>
                <w:rFonts w:asciiTheme="majorHAnsi" w:hAnsiTheme="majorHAnsi" w:cstheme="majorHAnsi"/>
                <w:szCs w:val="18"/>
                <w:lang w:val="en-US"/>
              </w:rPr>
              <w:t>amounts from investments</w:t>
            </w:r>
            <w:r w:rsidR="008322C7" w:rsidRPr="002E39DE">
              <w:rPr>
                <w:rFonts w:asciiTheme="majorHAnsi" w:hAnsiTheme="majorHAnsi" w:cstheme="majorHAnsi"/>
                <w:szCs w:val="18"/>
                <w:lang w:val="en-US"/>
              </w:rPr>
              <w:t xml:space="preserve"> </w:t>
            </w:r>
            <w:r w:rsidR="00A17D2A" w:rsidRPr="002E39DE">
              <w:rPr>
                <w:rFonts w:asciiTheme="majorHAnsi" w:hAnsiTheme="majorHAnsi" w:cstheme="majorHAnsi"/>
                <w:szCs w:val="18"/>
                <w:lang w:val="en-US"/>
              </w:rPr>
              <w:t xml:space="preserve">in subsidiaries </w:t>
            </w:r>
            <w:r w:rsidR="008322C7" w:rsidRPr="002E39DE">
              <w:rPr>
                <w:rFonts w:asciiTheme="majorHAnsi" w:hAnsiTheme="majorHAnsi" w:cstheme="majorHAnsi"/>
                <w:szCs w:val="18"/>
                <w:lang w:val="en-US"/>
              </w:rPr>
              <w:t xml:space="preserve">and goodwill. </w:t>
            </w:r>
          </w:p>
          <w:p w14:paraId="36C3C3C2" w14:textId="2FEE17C6" w:rsidR="00ED081C" w:rsidRPr="002E39DE" w:rsidRDefault="00ED081C"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E279AF">
              <w:rPr>
                <w:rFonts w:asciiTheme="majorHAnsi" w:hAnsiTheme="majorHAnsi" w:cstheme="majorHAnsi"/>
                <w:spacing w:val="-6"/>
                <w:szCs w:val="18"/>
                <w:lang w:val="en-US"/>
              </w:rPr>
              <w:t>Assessed the appropriateness of the managemen</w:t>
            </w:r>
            <w:r w:rsidRPr="002E39DE">
              <w:rPr>
                <w:rFonts w:asciiTheme="majorHAnsi" w:hAnsiTheme="majorHAnsi" w:cstheme="majorHAnsi"/>
                <w:szCs w:val="18"/>
                <w:lang w:val="en-US"/>
              </w:rPr>
              <w:t>t estimate</w:t>
            </w:r>
            <w:r w:rsidR="0041620E" w:rsidRPr="002E39DE">
              <w:rPr>
                <w:rFonts w:asciiTheme="majorHAnsi" w:hAnsiTheme="majorHAnsi" w:cstheme="majorHAnsi"/>
                <w:szCs w:val="18"/>
                <w:lang w:val="en-US"/>
              </w:rPr>
              <w:t>s</w:t>
            </w:r>
            <w:r w:rsidRPr="002E39DE">
              <w:rPr>
                <w:rFonts w:asciiTheme="majorHAnsi" w:hAnsiTheme="majorHAnsi" w:cstheme="majorHAnsi"/>
                <w:szCs w:val="18"/>
                <w:lang w:val="en-US"/>
              </w:rPr>
              <w:t xml:space="preserve"> by </w:t>
            </w:r>
            <w:r w:rsidR="007F1266" w:rsidRPr="002E39DE">
              <w:rPr>
                <w:rFonts w:asciiTheme="majorHAnsi" w:hAnsiTheme="majorHAnsi" w:cstheme="majorHAnsi"/>
                <w:szCs w:val="18"/>
                <w:lang w:val="en-US"/>
              </w:rPr>
              <w:t>reviewing the</w:t>
            </w:r>
            <w:r w:rsidR="004F76F4" w:rsidRPr="002E39DE">
              <w:rPr>
                <w:rFonts w:asciiTheme="majorHAnsi" w:hAnsiTheme="majorHAnsi" w:cstheme="majorHAnsi"/>
                <w:szCs w:val="18"/>
                <w:lang w:val="en-US"/>
              </w:rPr>
              <w:t xml:space="preserve"> ac</w:t>
            </w:r>
            <w:r w:rsidR="00804223" w:rsidRPr="002E39DE">
              <w:rPr>
                <w:rFonts w:asciiTheme="majorHAnsi" w:hAnsiTheme="majorHAnsi" w:cstheme="majorHAnsi"/>
                <w:szCs w:val="18"/>
                <w:lang w:val="en-US"/>
              </w:rPr>
              <w:t>tual operating result</w:t>
            </w:r>
            <w:r w:rsidR="00204584" w:rsidRPr="002E39DE">
              <w:rPr>
                <w:rFonts w:asciiTheme="majorHAnsi" w:hAnsiTheme="majorHAnsi" w:cstheme="majorHAnsi"/>
                <w:szCs w:val="18"/>
                <w:lang w:val="en-US"/>
              </w:rPr>
              <w:t>s</w:t>
            </w:r>
            <w:r w:rsidR="00804223" w:rsidRPr="002E39DE">
              <w:rPr>
                <w:rFonts w:asciiTheme="majorHAnsi" w:hAnsiTheme="majorHAnsi" w:cstheme="majorHAnsi"/>
                <w:szCs w:val="18"/>
                <w:lang w:val="en-US"/>
              </w:rPr>
              <w:t xml:space="preserve"> to the estimate</w:t>
            </w:r>
            <w:r w:rsidR="00D814EE" w:rsidRPr="002E39DE">
              <w:rPr>
                <w:rFonts w:asciiTheme="majorHAnsi" w:hAnsiTheme="majorHAnsi" w:cstheme="majorHAnsi"/>
                <w:szCs w:val="18"/>
                <w:lang w:val="en-US"/>
              </w:rPr>
              <w:t>s</w:t>
            </w:r>
            <w:r w:rsidR="00804223" w:rsidRPr="002E39DE">
              <w:rPr>
                <w:rFonts w:asciiTheme="majorHAnsi" w:hAnsiTheme="majorHAnsi" w:cstheme="majorHAnsi"/>
                <w:szCs w:val="18"/>
                <w:lang w:val="en-US"/>
              </w:rPr>
              <w:t xml:space="preserve"> in the prior year.</w:t>
            </w:r>
          </w:p>
          <w:p w14:paraId="2EE31DDA" w14:textId="3268C176" w:rsidR="00723550" w:rsidRPr="002E39DE" w:rsidRDefault="0072355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E39DE">
              <w:rPr>
                <w:rFonts w:asciiTheme="majorHAnsi" w:hAnsiTheme="majorHAnsi" w:cstheme="majorHAnsi"/>
                <w:szCs w:val="18"/>
                <w:lang w:val="en-US"/>
              </w:rPr>
              <w:t>Considered the key drivers as the sensitivity analysis and the impact to recoverable amounts</w:t>
            </w:r>
            <w:r w:rsidR="00B953F8" w:rsidRPr="002E39DE">
              <w:rPr>
                <w:rFonts w:asciiTheme="majorHAnsi" w:hAnsiTheme="majorHAnsi" w:cstheme="majorHAnsi"/>
                <w:szCs w:val="18"/>
                <w:lang w:val="en-US"/>
              </w:rPr>
              <w:t xml:space="preserve"> of investment</w:t>
            </w:r>
            <w:r w:rsidR="00D814EE" w:rsidRPr="002E39DE">
              <w:rPr>
                <w:rFonts w:asciiTheme="majorHAnsi" w:hAnsiTheme="majorHAnsi" w:cstheme="majorHAnsi"/>
                <w:szCs w:val="18"/>
                <w:lang w:val="en-US"/>
              </w:rPr>
              <w:t>s</w:t>
            </w:r>
            <w:r w:rsidR="00B953F8" w:rsidRPr="002E39DE">
              <w:rPr>
                <w:rFonts w:asciiTheme="majorHAnsi" w:hAnsiTheme="majorHAnsi" w:cstheme="majorHAnsi"/>
                <w:szCs w:val="18"/>
                <w:lang w:val="en-US"/>
              </w:rPr>
              <w:t xml:space="preserve"> in subsidiaries</w:t>
            </w:r>
            <w:r w:rsidR="00D814EE" w:rsidRPr="002E39DE">
              <w:rPr>
                <w:rFonts w:asciiTheme="majorHAnsi" w:hAnsiTheme="majorHAnsi" w:cstheme="majorHAnsi"/>
                <w:szCs w:val="18"/>
                <w:lang w:val="en-US"/>
              </w:rPr>
              <w:t>,</w:t>
            </w:r>
            <w:r w:rsidR="00B953F8" w:rsidRPr="002E39DE">
              <w:rPr>
                <w:rFonts w:asciiTheme="majorHAnsi" w:hAnsiTheme="majorHAnsi" w:cstheme="majorHAnsi"/>
                <w:szCs w:val="18"/>
                <w:lang w:val="en-US"/>
              </w:rPr>
              <w:t xml:space="preserve"> and goodwill. </w:t>
            </w:r>
          </w:p>
          <w:p w14:paraId="243C9AFA" w14:textId="26D336AC" w:rsidR="0081498B" w:rsidRPr="002E39DE" w:rsidRDefault="005E383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E279AF">
              <w:rPr>
                <w:rFonts w:asciiTheme="majorHAnsi" w:hAnsiTheme="majorHAnsi" w:cstheme="majorHAnsi"/>
                <w:spacing w:val="-10"/>
                <w:szCs w:val="18"/>
                <w:lang w:val="en-US"/>
              </w:rPr>
              <w:t>Consider</w:t>
            </w:r>
            <w:r w:rsidR="0009303F" w:rsidRPr="00E279AF">
              <w:rPr>
                <w:rFonts w:asciiTheme="majorHAnsi" w:hAnsiTheme="majorHAnsi" w:cstheme="majorHAnsi"/>
                <w:spacing w:val="-10"/>
                <w:szCs w:val="18"/>
                <w:lang w:val="en-US"/>
              </w:rPr>
              <w:t xml:space="preserve">ed </w:t>
            </w:r>
            <w:r w:rsidRPr="00E279AF">
              <w:rPr>
                <w:rFonts w:asciiTheme="majorHAnsi" w:hAnsiTheme="majorHAnsi" w:cstheme="majorHAnsi"/>
                <w:spacing w:val="-10"/>
                <w:szCs w:val="18"/>
                <w:lang w:val="en-US"/>
              </w:rPr>
              <w:t>the recoverable amount</w:t>
            </w:r>
            <w:r w:rsidR="00D814EE" w:rsidRPr="00E279AF">
              <w:rPr>
                <w:rFonts w:asciiTheme="majorHAnsi" w:hAnsiTheme="majorHAnsi" w:cstheme="majorHAnsi"/>
                <w:spacing w:val="-10"/>
                <w:szCs w:val="18"/>
                <w:lang w:val="en-US"/>
              </w:rPr>
              <w:t>s</w:t>
            </w:r>
            <w:r w:rsidRPr="00E279AF">
              <w:rPr>
                <w:rFonts w:asciiTheme="majorHAnsi" w:hAnsiTheme="majorHAnsi" w:cstheme="majorHAnsi"/>
                <w:spacing w:val="-10"/>
                <w:szCs w:val="18"/>
                <w:lang w:val="en-US"/>
              </w:rPr>
              <w:t xml:space="preserve"> of investment</w:t>
            </w:r>
            <w:r w:rsidR="00D814EE" w:rsidRPr="00E279AF">
              <w:rPr>
                <w:rFonts w:asciiTheme="majorHAnsi" w:hAnsiTheme="majorHAnsi" w:cstheme="majorHAnsi"/>
                <w:spacing w:val="-10"/>
                <w:szCs w:val="18"/>
                <w:lang w:val="en-US"/>
              </w:rPr>
              <w:t>s</w:t>
            </w:r>
            <w:r w:rsidR="00D814EE" w:rsidRPr="002E39DE">
              <w:rPr>
                <w:rFonts w:asciiTheme="majorHAnsi" w:hAnsiTheme="majorHAnsi" w:cstheme="majorHAnsi"/>
                <w:szCs w:val="18"/>
                <w:lang w:val="en-US"/>
              </w:rPr>
              <w:t xml:space="preserve"> </w:t>
            </w:r>
            <w:r w:rsidRPr="00E279AF">
              <w:rPr>
                <w:rFonts w:asciiTheme="majorHAnsi" w:hAnsiTheme="majorHAnsi" w:cstheme="majorHAnsi"/>
                <w:spacing w:val="-6"/>
                <w:szCs w:val="18"/>
                <w:lang w:val="en-US"/>
              </w:rPr>
              <w:t>in project</w:t>
            </w:r>
            <w:r w:rsidR="00D01874" w:rsidRPr="00E279AF">
              <w:rPr>
                <w:rFonts w:asciiTheme="majorHAnsi" w:hAnsiTheme="majorHAnsi" w:cstheme="majorHAnsi"/>
                <w:spacing w:val="-6"/>
                <w:szCs w:val="18"/>
                <w:lang w:val="en-US"/>
              </w:rPr>
              <w:t>s</w:t>
            </w:r>
            <w:r w:rsidRPr="00E279AF">
              <w:rPr>
                <w:rFonts w:asciiTheme="majorHAnsi" w:hAnsiTheme="majorHAnsi" w:cstheme="majorHAnsi"/>
                <w:spacing w:val="-6"/>
                <w:szCs w:val="18"/>
                <w:lang w:val="en-US"/>
              </w:rPr>
              <w:t xml:space="preserve"> under development</w:t>
            </w:r>
            <w:r w:rsidR="00D01874" w:rsidRPr="00E279AF">
              <w:rPr>
                <w:rFonts w:asciiTheme="majorHAnsi" w:hAnsiTheme="majorHAnsi" w:cstheme="majorHAnsi"/>
                <w:spacing w:val="-6"/>
                <w:szCs w:val="18"/>
                <w:lang w:val="en-US"/>
              </w:rPr>
              <w:t xml:space="preserve"> which</w:t>
            </w:r>
            <w:r w:rsidR="00D53AEF" w:rsidRPr="00E279AF">
              <w:rPr>
                <w:rFonts w:asciiTheme="majorHAnsi" w:hAnsiTheme="majorHAnsi" w:cstheme="majorHAnsi"/>
                <w:spacing w:val="-6"/>
                <w:szCs w:val="18"/>
                <w:lang w:val="en-US"/>
              </w:rPr>
              <w:t xml:space="preserve"> the Company</w:t>
            </w:r>
            <w:r w:rsidR="00D53AEF" w:rsidRPr="002E39DE">
              <w:rPr>
                <w:rFonts w:asciiTheme="majorHAnsi" w:hAnsiTheme="majorHAnsi" w:cstheme="majorHAnsi"/>
                <w:szCs w:val="18"/>
                <w:lang w:val="en-US"/>
              </w:rPr>
              <w:t xml:space="preserve"> invested</w:t>
            </w:r>
            <w:r w:rsidRPr="002E39DE">
              <w:rPr>
                <w:rFonts w:asciiTheme="majorHAnsi" w:hAnsiTheme="majorHAnsi" w:cstheme="majorHAnsi"/>
                <w:szCs w:val="18"/>
                <w:lang w:val="en-US"/>
              </w:rPr>
              <w:t xml:space="preserve"> through </w:t>
            </w:r>
            <w:r w:rsidR="00705D4D" w:rsidRPr="002E39DE">
              <w:rPr>
                <w:rFonts w:asciiTheme="majorHAnsi" w:hAnsiTheme="majorHAnsi" w:cstheme="majorHAnsi"/>
                <w:szCs w:val="18"/>
                <w:lang w:val="en-US"/>
              </w:rPr>
              <w:t xml:space="preserve">the </w:t>
            </w:r>
            <w:r w:rsidR="00923C06" w:rsidRPr="002E39DE">
              <w:rPr>
                <w:rFonts w:asciiTheme="majorHAnsi" w:hAnsiTheme="majorHAnsi" w:cstheme="majorHAnsi"/>
                <w:szCs w:val="18"/>
                <w:lang w:val="en-US"/>
              </w:rPr>
              <w:t>associated</w:t>
            </w:r>
            <w:r w:rsidR="00577FC1">
              <w:rPr>
                <w:rFonts w:asciiTheme="majorHAnsi" w:hAnsiTheme="majorHAnsi" w:cstheme="majorHAnsi"/>
                <w:szCs w:val="18"/>
                <w:lang w:val="en-US"/>
              </w:rPr>
              <w:t xml:space="preserve"> </w:t>
            </w:r>
            <w:r w:rsidR="00136CE9">
              <w:rPr>
                <w:rFonts w:asciiTheme="majorHAnsi" w:hAnsiTheme="majorHAnsi" w:cstheme="majorHAnsi"/>
                <w:szCs w:val="18"/>
                <w:lang w:val="en-US"/>
              </w:rPr>
              <w:t>and joint control</w:t>
            </w:r>
            <w:r w:rsidR="00923C06" w:rsidRPr="002E39DE">
              <w:rPr>
                <w:rFonts w:asciiTheme="majorHAnsi" w:hAnsiTheme="majorHAnsi" w:cstheme="majorHAnsi"/>
                <w:szCs w:val="18"/>
                <w:lang w:val="en-US"/>
              </w:rPr>
              <w:t xml:space="preserve"> companies</w:t>
            </w:r>
            <w:r w:rsidR="00CD0C52" w:rsidRPr="002E39DE">
              <w:rPr>
                <w:rFonts w:asciiTheme="majorHAnsi" w:hAnsiTheme="majorHAnsi" w:cstheme="majorHAnsi"/>
                <w:szCs w:val="18"/>
                <w:lang w:val="en-US"/>
              </w:rPr>
              <w:t xml:space="preserve"> by assess</w:t>
            </w:r>
            <w:r w:rsidR="00D814EE" w:rsidRPr="002E39DE">
              <w:rPr>
                <w:rFonts w:asciiTheme="majorHAnsi" w:hAnsiTheme="majorHAnsi" w:cstheme="majorHAnsi"/>
                <w:szCs w:val="18"/>
                <w:lang w:val="en-US"/>
              </w:rPr>
              <w:t>ing</w:t>
            </w:r>
            <w:r w:rsidR="00BD182F" w:rsidRPr="002E39DE">
              <w:rPr>
                <w:rFonts w:asciiTheme="majorHAnsi" w:hAnsiTheme="majorHAnsi" w:cstheme="majorHAnsi"/>
                <w:szCs w:val="18"/>
                <w:lang w:val="en-US"/>
              </w:rPr>
              <w:t xml:space="preserve"> project feasibility study </w:t>
            </w:r>
            <w:r w:rsidR="005E5E14" w:rsidRPr="002E39DE">
              <w:rPr>
                <w:rFonts w:asciiTheme="majorHAnsi" w:hAnsiTheme="majorHAnsi" w:cstheme="majorHAnsi"/>
                <w:szCs w:val="18"/>
                <w:lang w:val="en-US"/>
              </w:rPr>
              <w:t>and</w:t>
            </w:r>
            <w:r w:rsidR="00397A97" w:rsidRPr="002E39DE">
              <w:rPr>
                <w:rFonts w:asciiTheme="majorHAnsi" w:hAnsiTheme="majorHAnsi" w:cstheme="majorHAnsi"/>
                <w:szCs w:val="18"/>
                <w:lang w:val="en-US"/>
              </w:rPr>
              <w:t xml:space="preserve"> </w:t>
            </w:r>
            <w:r w:rsidR="001F0691" w:rsidRPr="002E39DE">
              <w:rPr>
                <w:rFonts w:asciiTheme="majorHAnsi" w:hAnsiTheme="majorHAnsi" w:cstheme="majorHAnsi"/>
                <w:szCs w:val="18"/>
                <w:lang w:val="en-US"/>
              </w:rPr>
              <w:t>other</w:t>
            </w:r>
            <w:r w:rsidR="0091611B" w:rsidRPr="002E39DE">
              <w:rPr>
                <w:rFonts w:asciiTheme="majorHAnsi" w:hAnsiTheme="majorHAnsi" w:cstheme="majorHAnsi"/>
                <w:szCs w:val="18"/>
                <w:lang w:val="en-US"/>
              </w:rPr>
              <w:t xml:space="preserve"> environment factors</w:t>
            </w:r>
            <w:r w:rsidR="001F0691" w:rsidRPr="002E39DE">
              <w:rPr>
                <w:rFonts w:asciiTheme="majorHAnsi" w:hAnsiTheme="majorHAnsi" w:cstheme="majorHAnsi"/>
                <w:szCs w:val="18"/>
                <w:lang w:val="en-US"/>
              </w:rPr>
              <w:t xml:space="preserve">. </w:t>
            </w:r>
          </w:p>
          <w:p w14:paraId="75CEF1B7" w14:textId="7A158F62" w:rsidR="00723550" w:rsidRPr="00477FDD" w:rsidRDefault="0072355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E39DE">
              <w:rPr>
                <w:rFonts w:asciiTheme="majorHAnsi" w:hAnsiTheme="majorHAnsi" w:cstheme="majorHAnsi"/>
                <w:szCs w:val="18"/>
                <w:lang w:val="en-US"/>
              </w:rPr>
              <w:t>Considered the adequacy of the Group’s</w:t>
            </w:r>
            <w:r w:rsidR="00F312B1" w:rsidRPr="002E39DE">
              <w:rPr>
                <w:rFonts w:asciiTheme="majorHAnsi" w:hAnsiTheme="majorHAnsi" w:cstheme="majorHAnsi"/>
                <w:szCs w:val="18"/>
                <w:lang w:val="en-US"/>
              </w:rPr>
              <w:t xml:space="preserve"> and </w:t>
            </w:r>
            <w:r w:rsidR="00F312B1" w:rsidRPr="00E279AF">
              <w:rPr>
                <w:rFonts w:asciiTheme="majorHAnsi" w:hAnsiTheme="majorHAnsi" w:cstheme="majorHAnsi"/>
                <w:spacing w:val="-8"/>
                <w:szCs w:val="18"/>
                <w:lang w:val="en-US"/>
              </w:rPr>
              <w:t>Company’s</w:t>
            </w:r>
            <w:r w:rsidRPr="00E279AF">
              <w:rPr>
                <w:rFonts w:asciiTheme="majorHAnsi" w:hAnsiTheme="majorHAnsi" w:cstheme="majorHAnsi"/>
                <w:spacing w:val="-8"/>
                <w:szCs w:val="18"/>
                <w:lang w:val="en-US"/>
              </w:rPr>
              <w:t xml:space="preserve"> disclosures for investment in subsidiar</w:t>
            </w:r>
            <w:r w:rsidR="00DF327F" w:rsidRPr="00E279AF">
              <w:rPr>
                <w:rFonts w:asciiTheme="majorHAnsi" w:hAnsiTheme="majorHAnsi" w:cstheme="majorHAnsi"/>
                <w:spacing w:val="-8"/>
                <w:szCs w:val="18"/>
                <w:lang w:val="en-US"/>
              </w:rPr>
              <w:t>ies</w:t>
            </w:r>
            <w:r w:rsidR="007472A1" w:rsidRPr="002E39DE">
              <w:rPr>
                <w:rFonts w:asciiTheme="majorHAnsi" w:hAnsiTheme="majorHAnsi" w:cstheme="majorHAnsi"/>
                <w:szCs w:val="18"/>
                <w:lang w:val="en-US"/>
              </w:rPr>
              <w:t xml:space="preserve"> </w:t>
            </w:r>
            <w:r w:rsidR="007472A1" w:rsidRPr="00E279AF">
              <w:rPr>
                <w:rFonts w:asciiTheme="majorHAnsi" w:hAnsiTheme="majorHAnsi" w:cstheme="majorHAnsi"/>
                <w:spacing w:val="-8"/>
                <w:szCs w:val="18"/>
                <w:lang w:val="en-US"/>
              </w:rPr>
              <w:t>and goodwill,</w:t>
            </w:r>
            <w:r w:rsidR="007B3A65" w:rsidRPr="00E279AF">
              <w:rPr>
                <w:rFonts w:asciiTheme="majorHAnsi" w:hAnsiTheme="majorHAnsi" w:cstheme="majorHAnsi"/>
                <w:spacing w:val="-8"/>
                <w:szCs w:val="18"/>
                <w:lang w:val="en-US"/>
              </w:rPr>
              <w:t xml:space="preserve"> investments in </w:t>
            </w:r>
            <w:r w:rsidR="00767925" w:rsidRPr="00E279AF">
              <w:rPr>
                <w:rFonts w:asciiTheme="majorHAnsi" w:hAnsiTheme="majorHAnsi" w:cstheme="majorHAnsi"/>
                <w:spacing w:val="-8"/>
                <w:szCs w:val="18"/>
                <w:lang w:val="en-US"/>
              </w:rPr>
              <w:t>associated</w:t>
            </w:r>
            <w:r w:rsidR="009E43D1">
              <w:rPr>
                <w:rFonts w:asciiTheme="majorHAnsi" w:hAnsiTheme="majorHAnsi" w:cstheme="majorHAnsi"/>
                <w:spacing w:val="-8"/>
                <w:szCs w:val="18"/>
                <w:lang w:val="en-US"/>
              </w:rPr>
              <w:t xml:space="preserve"> and joint </w:t>
            </w:r>
            <w:r w:rsidR="00C6472F">
              <w:rPr>
                <w:rFonts w:asciiTheme="majorHAnsi" w:hAnsiTheme="majorHAnsi" w:cstheme="majorHAnsi"/>
                <w:spacing w:val="-8"/>
                <w:szCs w:val="18"/>
                <w:lang w:val="en-US"/>
              </w:rPr>
              <w:t xml:space="preserve">control </w:t>
            </w:r>
            <w:r w:rsidR="00767925" w:rsidRPr="00E279AF">
              <w:rPr>
                <w:rFonts w:asciiTheme="majorHAnsi" w:hAnsiTheme="majorHAnsi" w:cstheme="majorHAnsi"/>
                <w:spacing w:val="-8"/>
                <w:szCs w:val="18"/>
                <w:lang w:val="en-US"/>
              </w:rPr>
              <w:t>companies</w:t>
            </w:r>
            <w:r w:rsidR="00D92EBB" w:rsidRPr="002E39DE">
              <w:rPr>
                <w:rFonts w:asciiTheme="majorHAnsi" w:hAnsiTheme="majorHAnsi" w:cstheme="majorHAnsi"/>
                <w:szCs w:val="18"/>
                <w:lang w:val="en-US"/>
              </w:rPr>
              <w:t xml:space="preserve">. </w:t>
            </w:r>
          </w:p>
          <w:p w14:paraId="7E105DA7" w14:textId="130B6C1E" w:rsidR="00477FDD" w:rsidRPr="00477FDD" w:rsidRDefault="00477FDD" w:rsidP="00FC1B82">
            <w:pPr>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tc>
      </w:tr>
      <w:bookmarkEnd w:id="1"/>
      <w:tr w:rsidR="00723550" w:rsidRPr="0032246D" w14:paraId="63BC24DD" w14:textId="77777777" w:rsidTr="00B375DB">
        <w:tc>
          <w:tcPr>
            <w:tcW w:w="4106" w:type="dxa"/>
            <w:tcBorders>
              <w:top w:val="single" w:sz="4" w:space="0" w:color="auto"/>
              <w:bottom w:val="single" w:sz="4" w:space="0" w:color="auto"/>
            </w:tcBorders>
            <w:shd w:val="clear" w:color="auto" w:fill="auto"/>
          </w:tcPr>
          <w:p w14:paraId="76C92A94" w14:textId="77777777" w:rsidR="000B05F2" w:rsidRDefault="000B05F2" w:rsidP="00723550">
            <w:pPr>
              <w:autoSpaceDE w:val="0"/>
              <w:autoSpaceDN w:val="0"/>
              <w:adjustRightInd w:val="0"/>
              <w:spacing w:line="360" w:lineRule="auto"/>
              <w:jc w:val="both"/>
              <w:rPr>
                <w:rFonts w:asciiTheme="majorHAnsi" w:hAnsiTheme="majorHAnsi" w:cstheme="majorHAnsi"/>
                <w:b/>
                <w:bCs/>
                <w:szCs w:val="18"/>
                <w:lang w:val="en-US"/>
              </w:rPr>
            </w:pPr>
          </w:p>
          <w:p w14:paraId="7AB28F5B" w14:textId="66C6E196" w:rsidR="00723550" w:rsidRDefault="00E817B9" w:rsidP="00723550">
            <w:pPr>
              <w:autoSpaceDE w:val="0"/>
              <w:autoSpaceDN w:val="0"/>
              <w:adjustRightInd w:val="0"/>
              <w:spacing w:line="360" w:lineRule="auto"/>
              <w:jc w:val="both"/>
              <w:rPr>
                <w:rFonts w:asciiTheme="majorHAnsi" w:hAnsiTheme="majorHAnsi" w:cstheme="majorHAnsi"/>
                <w:b/>
                <w:bCs/>
                <w:szCs w:val="18"/>
                <w:lang w:val="en-US"/>
              </w:rPr>
            </w:pPr>
            <w:r>
              <w:rPr>
                <w:rFonts w:asciiTheme="majorHAnsi" w:hAnsiTheme="majorHAnsi" w:cstheme="majorHAnsi"/>
                <w:b/>
                <w:bCs/>
                <w:szCs w:val="18"/>
                <w:lang w:val="en-US"/>
              </w:rPr>
              <w:t>Investments in p</w:t>
            </w:r>
            <w:r w:rsidR="00723550" w:rsidRPr="0032246D">
              <w:rPr>
                <w:rFonts w:asciiTheme="majorHAnsi" w:hAnsiTheme="majorHAnsi" w:cstheme="majorHAnsi"/>
                <w:b/>
                <w:bCs/>
                <w:szCs w:val="18"/>
                <w:lang w:val="en-US"/>
              </w:rPr>
              <w:t>roject</w:t>
            </w:r>
            <w:r>
              <w:rPr>
                <w:rFonts w:asciiTheme="majorHAnsi" w:hAnsiTheme="majorHAnsi" w:cstheme="majorHAnsi"/>
                <w:b/>
                <w:bCs/>
                <w:szCs w:val="18"/>
                <w:lang w:val="en-US"/>
              </w:rPr>
              <w:t>s under development</w:t>
            </w:r>
            <w:r w:rsidR="00723550" w:rsidRPr="0032246D">
              <w:rPr>
                <w:rFonts w:asciiTheme="majorHAnsi" w:hAnsiTheme="majorHAnsi" w:cstheme="majorHAnsi"/>
                <w:b/>
                <w:bCs/>
                <w:szCs w:val="18"/>
                <w:lang w:val="en-US"/>
              </w:rPr>
              <w:t xml:space="preserve"> </w:t>
            </w:r>
          </w:p>
          <w:p w14:paraId="021DAFFD" w14:textId="43F518E9" w:rsidR="00A35D30" w:rsidRDefault="00B35F95" w:rsidP="00723550">
            <w:pPr>
              <w:tabs>
                <w:tab w:val="left" w:pos="450"/>
                <w:tab w:val="left" w:pos="540"/>
              </w:tabs>
              <w:spacing w:line="360" w:lineRule="auto"/>
              <w:jc w:val="thaiDistribute"/>
              <w:rPr>
                <w:rFonts w:asciiTheme="majorHAnsi" w:hAnsiTheme="majorHAnsi" w:cstheme="majorHAnsi"/>
                <w:spacing w:val="-2"/>
                <w:szCs w:val="18"/>
                <w:lang w:val="en-US"/>
              </w:rPr>
            </w:pPr>
            <w:r>
              <w:rPr>
                <w:rFonts w:asciiTheme="majorHAnsi" w:hAnsiTheme="majorHAnsi" w:cstheme="majorHAnsi"/>
                <w:spacing w:val="-2"/>
                <w:szCs w:val="18"/>
                <w:lang w:val="en-US"/>
              </w:rPr>
              <w:t>T</w:t>
            </w:r>
            <w:r w:rsidR="00723550" w:rsidRPr="00847FE8">
              <w:rPr>
                <w:rFonts w:asciiTheme="majorHAnsi" w:hAnsiTheme="majorHAnsi" w:cstheme="majorHAnsi"/>
                <w:spacing w:val="-2"/>
                <w:szCs w:val="18"/>
                <w:lang w:val="en-US"/>
              </w:rPr>
              <w:t xml:space="preserve">he Group and </w:t>
            </w:r>
            <w:r w:rsidR="00FD1C03">
              <w:rPr>
                <w:rFonts w:asciiTheme="majorHAnsi" w:hAnsiTheme="majorHAnsi" w:cstheme="majorHAnsi"/>
                <w:spacing w:val="-2"/>
                <w:szCs w:val="18"/>
                <w:lang w:val="en-US"/>
              </w:rPr>
              <w:t xml:space="preserve">the </w:t>
            </w:r>
            <w:r w:rsidR="00723550" w:rsidRPr="00847FE8">
              <w:rPr>
                <w:rFonts w:asciiTheme="majorHAnsi" w:hAnsiTheme="majorHAnsi" w:cstheme="majorHAnsi"/>
                <w:spacing w:val="-2"/>
                <w:szCs w:val="18"/>
                <w:lang w:val="en-US"/>
              </w:rPr>
              <w:t>Company have</w:t>
            </w:r>
            <w:r w:rsidR="0002366E">
              <w:rPr>
                <w:rFonts w:asciiTheme="majorHAnsi" w:hAnsiTheme="majorHAnsi" w:cstheme="majorHAnsi"/>
                <w:spacing w:val="-2"/>
                <w:szCs w:val="18"/>
                <w:lang w:val="en-US"/>
              </w:rPr>
              <w:t xml:space="preserve"> significant</w:t>
            </w:r>
            <w:r w:rsidR="00BB6AB1">
              <w:rPr>
                <w:rFonts w:asciiTheme="majorHAnsi" w:hAnsiTheme="majorHAnsi" w:cstheme="majorHAnsi"/>
                <w:spacing w:val="-2"/>
                <w:szCs w:val="18"/>
                <w:lang w:val="en-US"/>
              </w:rPr>
              <w:t xml:space="preserve"> </w:t>
            </w:r>
            <w:r w:rsidR="00BB6AB1" w:rsidRPr="00E279AF">
              <w:rPr>
                <w:rFonts w:asciiTheme="majorHAnsi" w:hAnsiTheme="majorHAnsi" w:cstheme="majorHAnsi"/>
                <w:spacing w:val="-6"/>
                <w:szCs w:val="18"/>
                <w:lang w:val="en-US"/>
              </w:rPr>
              <w:t>investments in</w:t>
            </w:r>
            <w:r w:rsidR="00C52DB4" w:rsidRPr="00E279AF">
              <w:rPr>
                <w:rFonts w:asciiTheme="majorHAnsi" w:hAnsiTheme="majorHAnsi" w:cstheme="majorHAnsi"/>
                <w:spacing w:val="-6"/>
                <w:szCs w:val="18"/>
                <w:lang w:val="en-US"/>
              </w:rPr>
              <w:t xml:space="preserve"> projects with</w:t>
            </w:r>
            <w:r w:rsidR="00DE43F5" w:rsidRPr="00E279AF">
              <w:rPr>
                <w:rFonts w:asciiTheme="majorHAnsi" w:hAnsiTheme="majorHAnsi" w:cstheme="majorHAnsi"/>
                <w:spacing w:val="-6"/>
                <w:szCs w:val="18"/>
                <w:lang w:val="en-US"/>
              </w:rPr>
              <w:t xml:space="preserve"> </w:t>
            </w:r>
            <w:r w:rsidR="00072931" w:rsidRPr="00E279AF">
              <w:rPr>
                <w:rFonts w:asciiTheme="majorHAnsi" w:hAnsiTheme="majorHAnsi" w:cstheme="majorHAnsi"/>
                <w:spacing w:val="-6"/>
                <w:szCs w:val="18"/>
                <w:lang w:val="en-US"/>
              </w:rPr>
              <w:t>Thailand</w:t>
            </w:r>
            <w:r w:rsidR="00DE43F5" w:rsidRPr="00E279AF">
              <w:rPr>
                <w:rFonts w:asciiTheme="majorHAnsi" w:hAnsiTheme="majorHAnsi" w:cstheme="majorHAnsi"/>
                <w:spacing w:val="-6"/>
                <w:szCs w:val="18"/>
                <w:lang w:val="en-US"/>
              </w:rPr>
              <w:t xml:space="preserve"> and overseas</w:t>
            </w:r>
            <w:r w:rsidR="00C52DB4">
              <w:rPr>
                <w:rFonts w:asciiTheme="majorHAnsi" w:hAnsiTheme="majorHAnsi" w:cstheme="majorHAnsi"/>
                <w:spacing w:val="-2"/>
                <w:szCs w:val="18"/>
                <w:lang w:val="en-US"/>
              </w:rPr>
              <w:t xml:space="preserve"> </w:t>
            </w:r>
            <w:r w:rsidR="00FC01EC">
              <w:rPr>
                <w:rFonts w:asciiTheme="majorHAnsi" w:hAnsiTheme="majorHAnsi" w:cstheme="majorHAnsi"/>
                <w:spacing w:val="-2"/>
                <w:szCs w:val="18"/>
                <w:lang w:val="en-US"/>
              </w:rPr>
              <w:t>Government Agen</w:t>
            </w:r>
            <w:r w:rsidR="00611244">
              <w:rPr>
                <w:rFonts w:asciiTheme="majorHAnsi" w:hAnsiTheme="majorHAnsi" w:cstheme="majorHAnsi"/>
                <w:spacing w:val="-2"/>
                <w:szCs w:val="18"/>
                <w:lang w:val="en-US"/>
              </w:rPr>
              <w:t>c</w:t>
            </w:r>
            <w:r w:rsidR="00270F74">
              <w:rPr>
                <w:rFonts w:asciiTheme="majorHAnsi" w:hAnsiTheme="majorHAnsi" w:cstheme="majorHAnsi"/>
                <w:spacing w:val="-2"/>
                <w:szCs w:val="18"/>
                <w:lang w:val="en-US"/>
              </w:rPr>
              <w:t>ies</w:t>
            </w:r>
            <w:r w:rsidR="00380948">
              <w:rPr>
                <w:rFonts w:asciiTheme="majorHAnsi" w:hAnsiTheme="majorHAnsi" w:cstheme="majorHAnsi"/>
                <w:spacing w:val="-2"/>
                <w:szCs w:val="18"/>
                <w:lang w:val="en-US"/>
              </w:rPr>
              <w:t xml:space="preserve"> which are</w:t>
            </w:r>
            <w:r w:rsidR="00723550" w:rsidRPr="00847FE8">
              <w:rPr>
                <w:rFonts w:asciiTheme="majorHAnsi" w:hAnsiTheme="majorHAnsi" w:cstheme="majorHAnsi"/>
                <w:spacing w:val="-2"/>
                <w:szCs w:val="18"/>
                <w:lang w:val="en-US"/>
              </w:rPr>
              <w:t xml:space="preserve"> </w:t>
            </w:r>
            <w:r w:rsidR="00380948">
              <w:rPr>
                <w:rFonts w:asciiTheme="majorHAnsi" w:hAnsiTheme="majorHAnsi" w:cstheme="majorHAnsi"/>
                <w:spacing w:val="-2"/>
                <w:szCs w:val="18"/>
                <w:lang w:val="en-US"/>
              </w:rPr>
              <w:t>in</w:t>
            </w:r>
            <w:r w:rsidR="00723550" w:rsidRPr="00847FE8">
              <w:rPr>
                <w:rFonts w:asciiTheme="majorHAnsi" w:hAnsiTheme="majorHAnsi" w:cstheme="majorHAnsi"/>
                <w:spacing w:val="-2"/>
                <w:szCs w:val="18"/>
                <w:lang w:val="en-US"/>
              </w:rPr>
              <w:t xml:space="preserve"> stages of </w:t>
            </w:r>
            <w:r w:rsidR="008F1C9F">
              <w:rPr>
                <w:rFonts w:asciiTheme="majorHAnsi" w:hAnsiTheme="majorHAnsi" w:cstheme="majorHAnsi"/>
                <w:spacing w:val="-2"/>
                <w:szCs w:val="18"/>
                <w:lang w:val="en-US"/>
              </w:rPr>
              <w:t>project development</w:t>
            </w:r>
            <w:r w:rsidR="00723550" w:rsidRPr="00847FE8">
              <w:rPr>
                <w:rFonts w:asciiTheme="majorHAnsi" w:hAnsiTheme="majorHAnsi" w:cstheme="majorHAnsi"/>
                <w:spacing w:val="-2"/>
                <w:szCs w:val="18"/>
                <w:lang w:val="en-US"/>
              </w:rPr>
              <w:t>. The total amount of the investments in the</w:t>
            </w:r>
            <w:r w:rsidR="00A35D30">
              <w:rPr>
                <w:rFonts w:asciiTheme="majorHAnsi" w:hAnsiTheme="majorHAnsi" w:cstheme="majorHAnsi"/>
                <w:spacing w:val="-2"/>
                <w:szCs w:val="18"/>
                <w:lang w:val="en-US"/>
              </w:rPr>
              <w:t xml:space="preserve"> consolidated and separate financial statements as of 31 December 20</w:t>
            </w:r>
            <w:r w:rsidR="00DE475E">
              <w:rPr>
                <w:rFonts w:asciiTheme="majorHAnsi" w:hAnsiTheme="majorHAnsi" w:cstheme="majorHAnsi"/>
                <w:spacing w:val="-2"/>
                <w:szCs w:val="18"/>
                <w:lang w:val="en-US"/>
              </w:rPr>
              <w:t>20</w:t>
            </w:r>
            <w:r w:rsidR="00A35D30">
              <w:rPr>
                <w:rFonts w:asciiTheme="majorHAnsi" w:hAnsiTheme="majorHAnsi" w:cstheme="majorHAnsi"/>
                <w:spacing w:val="-2"/>
                <w:szCs w:val="18"/>
                <w:lang w:val="en-US"/>
              </w:rPr>
              <w:t xml:space="preserve"> are as follows:</w:t>
            </w:r>
          </w:p>
          <w:p w14:paraId="16C641E4" w14:textId="0C5EEA40" w:rsidR="00A35D30" w:rsidRDefault="008730E2" w:rsidP="00A96673">
            <w:pPr>
              <w:pStyle w:val="ListParagraph"/>
              <w:numPr>
                <w:ilvl w:val="0"/>
                <w:numId w:val="24"/>
              </w:numPr>
              <w:spacing w:line="360" w:lineRule="auto"/>
              <w:ind w:left="312" w:hanging="312"/>
              <w:jc w:val="thaiDistribute"/>
              <w:rPr>
                <w:rFonts w:asciiTheme="majorHAnsi" w:hAnsiTheme="majorHAnsi" w:cstheme="majorHAnsi"/>
                <w:spacing w:val="-2"/>
                <w:szCs w:val="18"/>
                <w:lang w:val="en-US"/>
              </w:rPr>
            </w:pPr>
            <w:r w:rsidRPr="00A96673">
              <w:rPr>
                <w:rFonts w:asciiTheme="majorHAnsi" w:hAnsiTheme="majorHAnsi" w:cstheme="majorHAnsi"/>
                <w:spacing w:val="-2"/>
                <w:szCs w:val="18"/>
                <w:lang w:val="en-US"/>
              </w:rPr>
              <w:t xml:space="preserve">Development costs for concession right - </w:t>
            </w:r>
            <w:proofErr w:type="spellStart"/>
            <w:r w:rsidRPr="00A96673">
              <w:rPr>
                <w:rFonts w:asciiTheme="majorHAnsi" w:hAnsiTheme="majorHAnsi" w:cstheme="majorHAnsi"/>
                <w:spacing w:val="-2"/>
                <w:szCs w:val="18"/>
                <w:lang w:val="en-US"/>
              </w:rPr>
              <w:t>Dawei</w:t>
            </w:r>
            <w:proofErr w:type="spellEnd"/>
            <w:r w:rsidRPr="00A96673">
              <w:rPr>
                <w:rFonts w:asciiTheme="majorHAnsi" w:hAnsiTheme="majorHAnsi" w:cstheme="majorHAnsi"/>
                <w:spacing w:val="-2"/>
                <w:szCs w:val="18"/>
                <w:lang w:val="en-US"/>
              </w:rPr>
              <w:t xml:space="preserve"> project</w:t>
            </w:r>
            <w:r w:rsidR="00A96673">
              <w:rPr>
                <w:rFonts w:asciiTheme="majorHAnsi" w:hAnsiTheme="majorHAnsi" w:cstheme="majorHAnsi"/>
                <w:spacing w:val="-2"/>
                <w:szCs w:val="18"/>
                <w:lang w:val="en-US"/>
              </w:rPr>
              <w:t xml:space="preserve"> of Baht </w:t>
            </w:r>
            <w:r w:rsidR="0021328C">
              <w:rPr>
                <w:rFonts w:asciiTheme="majorHAnsi" w:hAnsiTheme="majorHAnsi" w:cstheme="majorHAnsi"/>
                <w:spacing w:val="-2"/>
                <w:szCs w:val="18"/>
                <w:lang w:val="en-US"/>
              </w:rPr>
              <w:t>7,825.34</w:t>
            </w:r>
            <w:r w:rsidR="00A96673">
              <w:rPr>
                <w:rFonts w:asciiTheme="majorHAnsi" w:hAnsiTheme="majorHAnsi" w:cstheme="majorHAnsi"/>
                <w:spacing w:val="-2"/>
                <w:szCs w:val="18"/>
                <w:lang w:val="en-US"/>
              </w:rPr>
              <w:t xml:space="preserve"> million and </w:t>
            </w:r>
            <w:r w:rsidR="00DC6A6F">
              <w:rPr>
                <w:rFonts w:asciiTheme="majorHAnsi" w:hAnsiTheme="majorHAnsi" w:cstheme="majorHAnsi"/>
                <w:spacing w:val="-2"/>
                <w:szCs w:val="18"/>
                <w:lang w:val="en-US"/>
              </w:rPr>
              <w:t xml:space="preserve">Baht </w:t>
            </w:r>
            <w:r w:rsidR="00A96673" w:rsidRPr="00004905">
              <w:rPr>
                <w:rFonts w:asciiTheme="majorHAnsi" w:hAnsiTheme="majorHAnsi" w:cstheme="majorHAnsi"/>
                <w:spacing w:val="-2"/>
                <w:szCs w:val="18"/>
                <w:lang w:val="en-US"/>
              </w:rPr>
              <w:t>5,205.96</w:t>
            </w:r>
            <w:r w:rsidR="00A96673">
              <w:rPr>
                <w:rFonts w:asciiTheme="majorHAnsi" w:hAnsiTheme="majorHAnsi" w:cstheme="majorHAnsi"/>
                <w:spacing w:val="-2"/>
                <w:szCs w:val="18"/>
                <w:lang w:val="en-US"/>
              </w:rPr>
              <w:t xml:space="preserve"> million, respectively.</w:t>
            </w:r>
          </w:p>
          <w:p w14:paraId="35CC56A4" w14:textId="43CC2FAD" w:rsidR="00A96673" w:rsidRDefault="00AA3AB9" w:rsidP="00A96673">
            <w:pPr>
              <w:pStyle w:val="ListParagraph"/>
              <w:numPr>
                <w:ilvl w:val="0"/>
                <w:numId w:val="24"/>
              </w:numPr>
              <w:spacing w:line="360" w:lineRule="auto"/>
              <w:ind w:left="312" w:hanging="312"/>
              <w:jc w:val="thaiDistribute"/>
              <w:rPr>
                <w:rFonts w:asciiTheme="majorHAnsi" w:hAnsiTheme="majorHAnsi" w:cstheme="majorHAnsi"/>
                <w:spacing w:val="-2"/>
                <w:szCs w:val="18"/>
                <w:lang w:val="en-US"/>
              </w:rPr>
            </w:pPr>
            <w:r>
              <w:rPr>
                <w:rFonts w:asciiTheme="majorHAnsi" w:hAnsiTheme="majorHAnsi" w:cstheme="majorHAnsi"/>
                <w:spacing w:val="-2"/>
                <w:szCs w:val="18"/>
                <w:lang w:val="en-US"/>
              </w:rPr>
              <w:t xml:space="preserve">Potash </w:t>
            </w:r>
            <w:r w:rsidRPr="00AA3AB9">
              <w:rPr>
                <w:rFonts w:asciiTheme="majorHAnsi" w:hAnsiTheme="majorHAnsi" w:cstheme="majorHAnsi"/>
                <w:spacing w:val="-2"/>
                <w:szCs w:val="18"/>
                <w:lang w:val="en-US"/>
              </w:rPr>
              <w:t>mining right</w:t>
            </w:r>
            <w:r>
              <w:rPr>
                <w:rFonts w:asciiTheme="majorHAnsi" w:hAnsiTheme="majorHAnsi" w:cstheme="majorHAnsi"/>
                <w:spacing w:val="-2"/>
                <w:szCs w:val="18"/>
                <w:lang w:val="en-US"/>
              </w:rPr>
              <w:t xml:space="preserve"> of Baht </w:t>
            </w:r>
            <w:r w:rsidRPr="00004905">
              <w:rPr>
                <w:rFonts w:asciiTheme="majorHAnsi" w:hAnsiTheme="majorHAnsi" w:cstheme="majorHAnsi"/>
                <w:spacing w:val="-2"/>
                <w:szCs w:val="18"/>
                <w:lang w:val="en-US"/>
              </w:rPr>
              <w:t>2,293.49</w:t>
            </w:r>
            <w:r>
              <w:rPr>
                <w:rFonts w:asciiTheme="majorHAnsi" w:hAnsiTheme="majorHAnsi" w:cstheme="majorHAnsi"/>
                <w:spacing w:val="-2"/>
                <w:szCs w:val="18"/>
                <w:lang w:val="en-US"/>
              </w:rPr>
              <w:t xml:space="preserve"> million and </w:t>
            </w:r>
            <w:r w:rsidR="00E92E07">
              <w:rPr>
                <w:rFonts w:asciiTheme="majorHAnsi" w:hAnsiTheme="majorHAnsi" w:cstheme="majorHAnsi"/>
                <w:spacing w:val="-2"/>
                <w:szCs w:val="18"/>
                <w:lang w:val="en-US"/>
              </w:rPr>
              <w:t>d</w:t>
            </w:r>
            <w:r w:rsidR="00E92E07" w:rsidRPr="00E92E07">
              <w:rPr>
                <w:rFonts w:asciiTheme="majorHAnsi" w:hAnsiTheme="majorHAnsi" w:cstheme="majorHAnsi"/>
                <w:spacing w:val="-2"/>
                <w:szCs w:val="18"/>
                <w:lang w:val="en-US"/>
              </w:rPr>
              <w:t>eferred exploration and development costs</w:t>
            </w:r>
            <w:r w:rsidR="00E92E07">
              <w:rPr>
                <w:rFonts w:asciiTheme="majorHAnsi" w:hAnsiTheme="majorHAnsi" w:cstheme="majorHAnsi"/>
                <w:spacing w:val="-2"/>
                <w:szCs w:val="18"/>
                <w:lang w:val="en-US"/>
              </w:rPr>
              <w:t xml:space="preserve"> of Baht </w:t>
            </w:r>
            <w:r w:rsidR="00E92E07" w:rsidRPr="00004905">
              <w:rPr>
                <w:rFonts w:asciiTheme="majorHAnsi" w:hAnsiTheme="majorHAnsi" w:cstheme="majorHAnsi"/>
                <w:spacing w:val="-2"/>
                <w:szCs w:val="18"/>
                <w:lang w:val="en-US"/>
              </w:rPr>
              <w:t>95</w:t>
            </w:r>
            <w:r w:rsidR="00004905">
              <w:rPr>
                <w:rFonts w:asciiTheme="majorHAnsi" w:hAnsiTheme="majorHAnsi" w:cstheme="majorHAnsi"/>
                <w:spacing w:val="-2"/>
                <w:szCs w:val="18"/>
                <w:lang w:val="en-US"/>
              </w:rPr>
              <w:t>3</w:t>
            </w:r>
            <w:r w:rsidR="00E92E07" w:rsidRPr="00004905">
              <w:rPr>
                <w:rFonts w:asciiTheme="majorHAnsi" w:hAnsiTheme="majorHAnsi" w:cstheme="majorHAnsi"/>
                <w:spacing w:val="-2"/>
                <w:szCs w:val="18"/>
                <w:lang w:val="en-US"/>
              </w:rPr>
              <w:t>.5</w:t>
            </w:r>
            <w:r w:rsidR="00217B55">
              <w:rPr>
                <w:rFonts w:asciiTheme="majorHAnsi" w:hAnsiTheme="majorHAnsi" w:cstheme="majorHAnsi"/>
                <w:spacing w:val="-2"/>
                <w:szCs w:val="18"/>
                <w:lang w:val="en-US"/>
              </w:rPr>
              <w:t>7</w:t>
            </w:r>
            <w:r w:rsidR="00E92E07">
              <w:rPr>
                <w:rFonts w:asciiTheme="majorHAnsi" w:hAnsiTheme="majorHAnsi" w:cstheme="majorHAnsi"/>
                <w:spacing w:val="-2"/>
                <w:szCs w:val="18"/>
                <w:lang w:val="en-US"/>
              </w:rPr>
              <w:t xml:space="preserve"> million</w:t>
            </w:r>
            <w:r w:rsidR="008D4BBF">
              <w:rPr>
                <w:rFonts w:asciiTheme="majorHAnsi" w:hAnsiTheme="majorHAnsi" w:cstheme="majorHAnsi"/>
                <w:spacing w:val="-2"/>
                <w:szCs w:val="18"/>
                <w:lang w:val="en-US"/>
              </w:rPr>
              <w:t>.</w:t>
            </w:r>
            <w:r w:rsidR="00E92E07">
              <w:rPr>
                <w:rFonts w:asciiTheme="majorHAnsi" w:hAnsiTheme="majorHAnsi" w:cstheme="majorHAnsi"/>
                <w:spacing w:val="-2"/>
                <w:szCs w:val="18"/>
                <w:lang w:val="en-US"/>
              </w:rPr>
              <w:t xml:space="preserve"> </w:t>
            </w:r>
          </w:p>
          <w:p w14:paraId="196DE3B5" w14:textId="77777777" w:rsidR="00101C1A" w:rsidRDefault="00203703" w:rsidP="00101C1A">
            <w:pPr>
              <w:pStyle w:val="ListParagraph"/>
              <w:numPr>
                <w:ilvl w:val="0"/>
                <w:numId w:val="24"/>
              </w:numPr>
              <w:spacing w:line="360" w:lineRule="auto"/>
              <w:ind w:left="312" w:hanging="312"/>
              <w:jc w:val="thaiDistribute"/>
              <w:rPr>
                <w:rFonts w:asciiTheme="majorHAnsi" w:hAnsiTheme="majorHAnsi" w:cstheme="majorHAnsi"/>
                <w:spacing w:val="-2"/>
                <w:szCs w:val="18"/>
                <w:lang w:val="en-US"/>
              </w:rPr>
            </w:pPr>
            <w:r>
              <w:rPr>
                <w:rFonts w:asciiTheme="majorHAnsi" w:hAnsiTheme="majorHAnsi" w:cstheme="majorHAnsi"/>
                <w:spacing w:val="-2"/>
                <w:szCs w:val="18"/>
                <w:lang w:val="en-US"/>
              </w:rPr>
              <w:t>D</w:t>
            </w:r>
            <w:r w:rsidRPr="00203703">
              <w:rPr>
                <w:rFonts w:asciiTheme="majorHAnsi" w:hAnsiTheme="majorHAnsi" w:cstheme="majorHAnsi"/>
                <w:spacing w:val="-2"/>
                <w:szCs w:val="18"/>
                <w:lang w:val="en-US"/>
              </w:rPr>
              <w:t>eferred concession costs and costs of project under development</w:t>
            </w:r>
            <w:r>
              <w:rPr>
                <w:rFonts w:asciiTheme="majorHAnsi" w:hAnsiTheme="majorHAnsi" w:cstheme="majorHAnsi"/>
                <w:spacing w:val="-2"/>
                <w:szCs w:val="18"/>
                <w:lang w:val="en-US"/>
              </w:rPr>
              <w:t xml:space="preserve"> </w:t>
            </w:r>
            <w:r w:rsidR="00B97CE2">
              <w:rPr>
                <w:rFonts w:asciiTheme="majorHAnsi" w:hAnsiTheme="majorHAnsi" w:cstheme="majorHAnsi"/>
                <w:spacing w:val="-2"/>
                <w:szCs w:val="18"/>
                <w:lang w:val="en-US"/>
              </w:rPr>
              <w:t>in Mozam</w:t>
            </w:r>
            <w:r w:rsidR="00475565">
              <w:rPr>
                <w:rFonts w:asciiTheme="majorHAnsi" w:hAnsiTheme="majorHAnsi" w:cstheme="majorHAnsi"/>
                <w:spacing w:val="-2"/>
                <w:szCs w:val="18"/>
                <w:lang w:val="en-US"/>
              </w:rPr>
              <w:t xml:space="preserve">bique </w:t>
            </w:r>
            <w:r w:rsidR="00B56DB3">
              <w:rPr>
                <w:rFonts w:asciiTheme="majorHAnsi" w:hAnsiTheme="majorHAnsi" w:cstheme="majorHAnsi"/>
                <w:spacing w:val="-2"/>
                <w:szCs w:val="18"/>
                <w:lang w:val="en-US"/>
              </w:rPr>
              <w:t xml:space="preserve">of Baht </w:t>
            </w:r>
            <w:r w:rsidR="00217B55">
              <w:rPr>
                <w:rFonts w:asciiTheme="majorHAnsi" w:hAnsiTheme="majorHAnsi" w:cstheme="majorHAnsi"/>
                <w:spacing w:val="-2"/>
                <w:szCs w:val="18"/>
                <w:lang w:val="en-US"/>
              </w:rPr>
              <w:t>2,284.28</w:t>
            </w:r>
            <w:r w:rsidR="00B56DB3">
              <w:rPr>
                <w:rFonts w:asciiTheme="majorHAnsi" w:hAnsiTheme="majorHAnsi" w:cstheme="majorHAnsi"/>
                <w:spacing w:val="-2"/>
                <w:szCs w:val="18"/>
                <w:lang w:val="en-US"/>
              </w:rPr>
              <w:t xml:space="preserve"> million and </w:t>
            </w:r>
            <w:r w:rsidR="00254409">
              <w:rPr>
                <w:rFonts w:asciiTheme="majorHAnsi" w:hAnsiTheme="majorHAnsi" w:cstheme="majorHAnsi"/>
                <w:spacing w:val="-2"/>
                <w:szCs w:val="18"/>
                <w:lang w:val="en-US"/>
              </w:rPr>
              <w:t xml:space="preserve">Baht </w:t>
            </w:r>
            <w:r w:rsidR="00217B55">
              <w:rPr>
                <w:rFonts w:asciiTheme="majorHAnsi" w:hAnsiTheme="majorHAnsi" w:cstheme="majorHAnsi"/>
                <w:spacing w:val="-2"/>
                <w:szCs w:val="18"/>
                <w:lang w:val="en-US"/>
              </w:rPr>
              <w:t>1,993.23</w:t>
            </w:r>
            <w:r w:rsidR="008263C4">
              <w:rPr>
                <w:rFonts w:asciiTheme="majorHAnsi" w:hAnsiTheme="majorHAnsi" w:cstheme="majorHAnsi"/>
                <w:spacing w:val="-2"/>
                <w:szCs w:val="18"/>
                <w:lang w:val="en-US"/>
              </w:rPr>
              <w:t xml:space="preserve"> million, respectively.</w:t>
            </w:r>
          </w:p>
          <w:p w14:paraId="57A380C2" w14:textId="77777777" w:rsidR="00101C1A" w:rsidRPr="005B1C17" w:rsidRDefault="00101C1A" w:rsidP="00101C1A">
            <w:pPr>
              <w:pStyle w:val="ListParagraph"/>
              <w:spacing w:line="360" w:lineRule="auto"/>
              <w:ind w:left="312"/>
              <w:jc w:val="thaiDistribute"/>
              <w:rPr>
                <w:rFonts w:asciiTheme="majorHAnsi" w:hAnsiTheme="majorHAnsi" w:cstheme="majorHAnsi"/>
                <w:sz w:val="6"/>
                <w:szCs w:val="6"/>
                <w:lang w:val="en-US"/>
              </w:rPr>
            </w:pPr>
          </w:p>
          <w:p w14:paraId="605DDB4F" w14:textId="27C5503A" w:rsidR="00670395" w:rsidRPr="0086054D" w:rsidRDefault="00723550" w:rsidP="0086054D">
            <w:pPr>
              <w:tabs>
                <w:tab w:val="left" w:pos="450"/>
                <w:tab w:val="left" w:pos="540"/>
              </w:tabs>
              <w:spacing w:line="360" w:lineRule="auto"/>
              <w:jc w:val="thaiDistribute"/>
              <w:rPr>
                <w:rFonts w:asciiTheme="majorHAnsi" w:hAnsiTheme="majorHAnsi" w:cstheme="majorHAnsi"/>
                <w:szCs w:val="18"/>
                <w:lang w:val="en-US"/>
              </w:rPr>
            </w:pPr>
            <w:r w:rsidRPr="00101C1A">
              <w:rPr>
                <w:rFonts w:asciiTheme="majorHAnsi" w:hAnsiTheme="majorHAnsi" w:cstheme="majorHAnsi"/>
                <w:szCs w:val="18"/>
                <w:lang w:val="en-US"/>
              </w:rPr>
              <w:t>The assessment of the realizable value of the investments in such projects</w:t>
            </w:r>
            <w:r w:rsidR="005C4A16" w:rsidRPr="00101C1A">
              <w:rPr>
                <w:rFonts w:asciiTheme="majorHAnsi" w:hAnsiTheme="majorHAnsi" w:cstheme="majorHAnsi"/>
                <w:szCs w:val="18"/>
                <w:lang w:val="en-US"/>
              </w:rPr>
              <w:t>,</w:t>
            </w:r>
            <w:r w:rsidR="00682D66" w:rsidRPr="00101C1A">
              <w:rPr>
                <w:rFonts w:asciiTheme="majorHAnsi" w:hAnsiTheme="majorHAnsi" w:cstheme="majorHAnsi"/>
                <w:szCs w:val="18"/>
                <w:lang w:val="en-US"/>
              </w:rPr>
              <w:t xml:space="preserve"> requires</w:t>
            </w:r>
            <w:r w:rsidR="005C4A16" w:rsidRPr="00101C1A">
              <w:rPr>
                <w:rFonts w:asciiTheme="majorHAnsi" w:hAnsiTheme="majorHAnsi" w:cstheme="majorHAnsi"/>
                <w:szCs w:val="18"/>
                <w:lang w:val="en-US"/>
              </w:rPr>
              <w:t xml:space="preserve"> </w:t>
            </w:r>
            <w:r w:rsidR="00814B94" w:rsidRPr="00101C1A">
              <w:rPr>
                <w:rFonts w:asciiTheme="majorHAnsi" w:hAnsiTheme="majorHAnsi" w:cstheme="majorHAnsi"/>
                <w:szCs w:val="18"/>
                <w:lang w:val="en-US"/>
              </w:rPr>
              <w:t>management</w:t>
            </w:r>
            <w:r w:rsidR="00821663" w:rsidRPr="00101C1A">
              <w:rPr>
                <w:rFonts w:asciiTheme="majorHAnsi" w:hAnsiTheme="majorHAnsi" w:cstheme="majorHAnsi"/>
                <w:szCs w:val="18"/>
                <w:lang w:val="en-US"/>
              </w:rPr>
              <w:t xml:space="preserve"> high </w:t>
            </w:r>
            <w:r w:rsidR="00B36576" w:rsidRPr="00101C1A">
              <w:rPr>
                <w:rFonts w:asciiTheme="majorHAnsi" w:hAnsiTheme="majorHAnsi" w:cstheme="majorHAnsi"/>
                <w:szCs w:val="18"/>
                <w:lang w:val="en-US"/>
              </w:rPr>
              <w:t>judgment</w:t>
            </w:r>
            <w:r w:rsidRPr="00101C1A">
              <w:rPr>
                <w:rFonts w:asciiTheme="majorHAnsi" w:hAnsiTheme="majorHAnsi" w:cstheme="majorHAnsi"/>
                <w:szCs w:val="18"/>
                <w:lang w:val="en-US"/>
              </w:rPr>
              <w:t xml:space="preserve"> about the future project feasibility, forecasted cash flows and expenses from operations in such projects</w:t>
            </w:r>
            <w:r w:rsidR="00670395" w:rsidRPr="00101C1A">
              <w:rPr>
                <w:rFonts w:asciiTheme="majorHAnsi" w:hAnsiTheme="majorHAnsi" w:cstheme="majorHAnsi"/>
                <w:szCs w:val="18"/>
                <w:lang w:val="en-US"/>
              </w:rPr>
              <w:t xml:space="preserve">, except for the matters discussed under the basis for qualified opinion. </w:t>
            </w:r>
          </w:p>
          <w:p w14:paraId="3BDB3E70" w14:textId="77777777" w:rsidR="00723550" w:rsidRPr="005B1C17" w:rsidRDefault="00723550" w:rsidP="00723550">
            <w:pPr>
              <w:autoSpaceDE w:val="0"/>
              <w:autoSpaceDN w:val="0"/>
              <w:spacing w:after="0" w:line="360" w:lineRule="auto"/>
              <w:ind w:left="258"/>
              <w:jc w:val="thaiDistribute"/>
              <w:rPr>
                <w:rFonts w:asciiTheme="majorHAnsi" w:hAnsiTheme="majorHAnsi" w:cstheme="majorHAnsi"/>
                <w:sz w:val="8"/>
                <w:szCs w:val="8"/>
                <w:lang w:val="en-US"/>
              </w:rPr>
            </w:pPr>
          </w:p>
          <w:p w14:paraId="64F7345D" w14:textId="5E290DC9" w:rsidR="00723550" w:rsidRPr="0032246D" w:rsidRDefault="00723550" w:rsidP="00723550">
            <w:pPr>
              <w:tabs>
                <w:tab w:val="left" w:pos="450"/>
                <w:tab w:val="left" w:pos="540"/>
              </w:tabs>
              <w:spacing w:line="360" w:lineRule="auto"/>
              <w:jc w:val="thaiDistribute"/>
              <w:rPr>
                <w:rFonts w:asciiTheme="majorHAnsi" w:hAnsiTheme="majorHAnsi" w:cstheme="majorHAnsi"/>
                <w:i/>
                <w:iCs/>
                <w:szCs w:val="18"/>
                <w:lang w:val="en-US"/>
              </w:rPr>
            </w:pPr>
            <w:r w:rsidRPr="0032246D">
              <w:rPr>
                <w:rFonts w:asciiTheme="majorHAnsi" w:hAnsiTheme="majorHAnsi" w:cstheme="majorHAnsi"/>
                <w:szCs w:val="18"/>
                <w:lang w:val="en-US"/>
              </w:rPr>
              <w:t>The details of the investments</w:t>
            </w:r>
            <w:r w:rsidR="00A953D0">
              <w:rPr>
                <w:rFonts w:asciiTheme="majorHAnsi" w:hAnsiTheme="majorHAnsi" w:cstheme="majorHAnsi"/>
                <w:szCs w:val="18"/>
                <w:lang w:val="en-US"/>
              </w:rPr>
              <w:t xml:space="preserve"> in project under development</w:t>
            </w:r>
            <w:r w:rsidRPr="0032246D">
              <w:rPr>
                <w:rFonts w:asciiTheme="majorHAnsi" w:hAnsiTheme="majorHAnsi" w:cstheme="majorHAnsi"/>
                <w:szCs w:val="18"/>
                <w:lang w:val="en-US"/>
              </w:rPr>
              <w:t xml:space="preserve"> are disclosed in </w:t>
            </w:r>
            <w:r w:rsidRPr="0032246D">
              <w:rPr>
                <w:rFonts w:asciiTheme="majorHAnsi" w:hAnsiTheme="majorHAnsi" w:cstheme="majorHAnsi"/>
                <w:szCs w:val="18"/>
              </w:rPr>
              <w:t>N</w:t>
            </w:r>
            <w:proofErr w:type="spellStart"/>
            <w:r w:rsidRPr="0032246D">
              <w:rPr>
                <w:rFonts w:asciiTheme="majorHAnsi" w:hAnsiTheme="majorHAnsi" w:cstheme="majorHAnsi"/>
                <w:szCs w:val="18"/>
                <w:lang w:val="en-US"/>
              </w:rPr>
              <w:t>otes</w:t>
            </w:r>
            <w:proofErr w:type="spellEnd"/>
            <w:r w:rsidRPr="0032246D">
              <w:rPr>
                <w:rFonts w:asciiTheme="majorHAnsi" w:hAnsiTheme="majorHAnsi" w:cstheme="majorHAnsi"/>
                <w:szCs w:val="18"/>
                <w:lang w:val="en-US"/>
              </w:rPr>
              <w:t xml:space="preserve"> </w:t>
            </w:r>
            <w:r w:rsidRPr="00233375">
              <w:rPr>
                <w:rFonts w:asciiTheme="majorHAnsi" w:hAnsiTheme="majorHAnsi" w:cstheme="majorHAnsi"/>
                <w:szCs w:val="18"/>
                <w:lang w:val="en-US"/>
              </w:rPr>
              <w:t>1</w:t>
            </w:r>
            <w:r w:rsidR="00815F00">
              <w:rPr>
                <w:rFonts w:asciiTheme="majorHAnsi" w:hAnsiTheme="majorHAnsi" w:cstheme="majorHAnsi"/>
                <w:szCs w:val="18"/>
                <w:lang w:val="en-US"/>
              </w:rPr>
              <w:t>8</w:t>
            </w:r>
            <w:r w:rsidRPr="00233375">
              <w:rPr>
                <w:rFonts w:asciiTheme="majorHAnsi" w:hAnsiTheme="majorHAnsi" w:cstheme="majorHAnsi"/>
                <w:szCs w:val="18"/>
                <w:lang w:val="en-US"/>
              </w:rPr>
              <w:t>, 1</w:t>
            </w:r>
            <w:r w:rsidR="00815F00">
              <w:rPr>
                <w:rFonts w:asciiTheme="majorHAnsi" w:hAnsiTheme="majorHAnsi" w:cstheme="majorHAnsi"/>
                <w:szCs w:val="18"/>
                <w:lang w:val="en-US"/>
              </w:rPr>
              <w:t>9 and 26.</w:t>
            </w:r>
            <w:r w:rsidRPr="0032246D">
              <w:rPr>
                <w:rFonts w:asciiTheme="majorHAnsi" w:hAnsiTheme="majorHAnsi" w:cstheme="majorHAnsi"/>
                <w:szCs w:val="18"/>
                <w:lang w:val="en-US"/>
              </w:rPr>
              <w:t xml:space="preserve"> </w:t>
            </w:r>
          </w:p>
          <w:p w14:paraId="7DFB9839" w14:textId="77777777" w:rsidR="00723550" w:rsidRDefault="00723550" w:rsidP="008E6DAC">
            <w:pPr>
              <w:autoSpaceDE w:val="0"/>
              <w:autoSpaceDN w:val="0"/>
              <w:spacing w:after="0" w:line="360" w:lineRule="auto"/>
              <w:ind w:left="258"/>
              <w:jc w:val="thaiDistribute"/>
              <w:rPr>
                <w:rFonts w:asciiTheme="majorHAnsi" w:hAnsiTheme="majorHAnsi" w:cstheme="majorHAnsi"/>
                <w:b/>
                <w:bCs/>
                <w:szCs w:val="18"/>
                <w:lang w:val="en-US"/>
              </w:rPr>
            </w:pPr>
          </w:p>
          <w:p w14:paraId="35BA1C65" w14:textId="1107E50A" w:rsidR="00525982" w:rsidRDefault="00525982" w:rsidP="008E6DAC">
            <w:pPr>
              <w:autoSpaceDE w:val="0"/>
              <w:autoSpaceDN w:val="0"/>
              <w:spacing w:after="0" w:line="360" w:lineRule="auto"/>
              <w:ind w:left="258"/>
              <w:jc w:val="thaiDistribute"/>
              <w:rPr>
                <w:rFonts w:asciiTheme="majorHAnsi" w:hAnsiTheme="majorHAnsi" w:cstheme="majorHAnsi"/>
                <w:b/>
                <w:bCs/>
                <w:szCs w:val="18"/>
                <w:lang w:val="en-US"/>
              </w:rPr>
            </w:pPr>
          </w:p>
          <w:p w14:paraId="76EA5CEA" w14:textId="77777777" w:rsidR="005B1C17" w:rsidRDefault="005B1C17" w:rsidP="008E6DAC">
            <w:pPr>
              <w:autoSpaceDE w:val="0"/>
              <w:autoSpaceDN w:val="0"/>
              <w:spacing w:after="0" w:line="360" w:lineRule="auto"/>
              <w:ind w:left="258"/>
              <w:jc w:val="thaiDistribute"/>
              <w:rPr>
                <w:rFonts w:asciiTheme="majorHAnsi" w:hAnsiTheme="majorHAnsi" w:cstheme="majorHAnsi"/>
                <w:b/>
                <w:bCs/>
                <w:szCs w:val="18"/>
                <w:lang w:val="en-US"/>
              </w:rPr>
            </w:pPr>
          </w:p>
          <w:p w14:paraId="15B658A0" w14:textId="77777777" w:rsidR="00525982" w:rsidRDefault="00525982" w:rsidP="008E6DAC">
            <w:pPr>
              <w:autoSpaceDE w:val="0"/>
              <w:autoSpaceDN w:val="0"/>
              <w:spacing w:after="0" w:line="360" w:lineRule="auto"/>
              <w:ind w:left="258"/>
              <w:jc w:val="thaiDistribute"/>
              <w:rPr>
                <w:rFonts w:asciiTheme="majorHAnsi" w:hAnsiTheme="majorHAnsi" w:cstheme="majorHAnsi"/>
                <w:b/>
                <w:bCs/>
                <w:szCs w:val="18"/>
                <w:lang w:val="en-US"/>
              </w:rPr>
            </w:pPr>
          </w:p>
          <w:p w14:paraId="3BFA3A1C" w14:textId="77777777" w:rsidR="00525982" w:rsidRDefault="00525982" w:rsidP="008E6DAC">
            <w:pPr>
              <w:autoSpaceDE w:val="0"/>
              <w:autoSpaceDN w:val="0"/>
              <w:spacing w:after="0" w:line="360" w:lineRule="auto"/>
              <w:ind w:left="258"/>
              <w:jc w:val="thaiDistribute"/>
              <w:rPr>
                <w:rFonts w:asciiTheme="majorHAnsi" w:hAnsiTheme="majorHAnsi" w:cstheme="majorHAnsi"/>
                <w:b/>
                <w:bCs/>
                <w:szCs w:val="18"/>
                <w:lang w:val="en-US"/>
              </w:rPr>
            </w:pPr>
          </w:p>
          <w:p w14:paraId="11AC5223" w14:textId="30B8DE7D" w:rsidR="00525982" w:rsidRDefault="00525982" w:rsidP="008E6DAC">
            <w:pPr>
              <w:autoSpaceDE w:val="0"/>
              <w:autoSpaceDN w:val="0"/>
              <w:spacing w:after="0" w:line="360" w:lineRule="auto"/>
              <w:ind w:left="258"/>
              <w:jc w:val="thaiDistribute"/>
              <w:rPr>
                <w:rFonts w:asciiTheme="majorHAnsi" w:hAnsiTheme="majorHAnsi" w:cstheme="majorHAnsi"/>
                <w:b/>
                <w:bCs/>
                <w:szCs w:val="18"/>
                <w:lang w:val="en-US"/>
              </w:rPr>
            </w:pPr>
          </w:p>
          <w:p w14:paraId="3F3C2645" w14:textId="5A27E44C" w:rsidR="000B05F2" w:rsidRDefault="000B05F2" w:rsidP="008E6DAC">
            <w:pPr>
              <w:autoSpaceDE w:val="0"/>
              <w:autoSpaceDN w:val="0"/>
              <w:spacing w:after="0" w:line="360" w:lineRule="auto"/>
              <w:ind w:left="258"/>
              <w:jc w:val="thaiDistribute"/>
              <w:rPr>
                <w:rFonts w:asciiTheme="majorHAnsi" w:hAnsiTheme="majorHAnsi" w:cstheme="majorHAnsi"/>
                <w:b/>
                <w:bCs/>
                <w:szCs w:val="18"/>
                <w:lang w:val="en-US"/>
              </w:rPr>
            </w:pPr>
          </w:p>
          <w:p w14:paraId="476E26E1" w14:textId="67D65576" w:rsidR="00514B59" w:rsidRDefault="00514B59" w:rsidP="008E6DAC">
            <w:pPr>
              <w:autoSpaceDE w:val="0"/>
              <w:autoSpaceDN w:val="0"/>
              <w:spacing w:after="0" w:line="360" w:lineRule="auto"/>
              <w:ind w:left="258"/>
              <w:jc w:val="thaiDistribute"/>
              <w:rPr>
                <w:rFonts w:asciiTheme="majorHAnsi" w:hAnsiTheme="majorHAnsi" w:cstheme="majorHAnsi"/>
                <w:b/>
                <w:bCs/>
                <w:szCs w:val="18"/>
                <w:lang w:val="en-US"/>
              </w:rPr>
            </w:pPr>
          </w:p>
          <w:p w14:paraId="249973E6" w14:textId="2E0004D7" w:rsidR="00514B59" w:rsidRDefault="00514B59" w:rsidP="008E6DAC">
            <w:pPr>
              <w:autoSpaceDE w:val="0"/>
              <w:autoSpaceDN w:val="0"/>
              <w:spacing w:after="0" w:line="360" w:lineRule="auto"/>
              <w:ind w:left="258"/>
              <w:jc w:val="thaiDistribute"/>
              <w:rPr>
                <w:rFonts w:asciiTheme="majorHAnsi" w:hAnsiTheme="majorHAnsi" w:cstheme="majorHAnsi"/>
                <w:b/>
                <w:bCs/>
                <w:szCs w:val="18"/>
                <w:lang w:val="en-US"/>
              </w:rPr>
            </w:pPr>
          </w:p>
          <w:p w14:paraId="51C66E1E" w14:textId="447B4FB6" w:rsidR="00514B59" w:rsidRDefault="00514B59" w:rsidP="008E6DAC">
            <w:pPr>
              <w:autoSpaceDE w:val="0"/>
              <w:autoSpaceDN w:val="0"/>
              <w:spacing w:after="0" w:line="360" w:lineRule="auto"/>
              <w:ind w:left="258"/>
              <w:jc w:val="thaiDistribute"/>
              <w:rPr>
                <w:rFonts w:asciiTheme="majorHAnsi" w:hAnsiTheme="majorHAnsi" w:cstheme="majorHAnsi"/>
                <w:b/>
                <w:bCs/>
                <w:szCs w:val="18"/>
                <w:lang w:val="en-US"/>
              </w:rPr>
            </w:pPr>
          </w:p>
          <w:p w14:paraId="49ADD8A7" w14:textId="77777777" w:rsidR="00514B59" w:rsidRDefault="00514B59" w:rsidP="008E6DAC">
            <w:pPr>
              <w:autoSpaceDE w:val="0"/>
              <w:autoSpaceDN w:val="0"/>
              <w:spacing w:after="0" w:line="360" w:lineRule="auto"/>
              <w:ind w:left="258"/>
              <w:jc w:val="thaiDistribute"/>
              <w:rPr>
                <w:rFonts w:asciiTheme="majorHAnsi" w:hAnsiTheme="majorHAnsi" w:cstheme="majorHAnsi"/>
                <w:b/>
                <w:bCs/>
                <w:szCs w:val="18"/>
                <w:lang w:val="en-US"/>
              </w:rPr>
            </w:pPr>
          </w:p>
          <w:p w14:paraId="1C9ACCCE" w14:textId="442CD957" w:rsidR="00154EE1" w:rsidRDefault="00154EE1" w:rsidP="008E6DAC">
            <w:pPr>
              <w:autoSpaceDE w:val="0"/>
              <w:autoSpaceDN w:val="0"/>
              <w:spacing w:after="0" w:line="360" w:lineRule="auto"/>
              <w:ind w:left="258"/>
              <w:jc w:val="thaiDistribute"/>
              <w:rPr>
                <w:rFonts w:asciiTheme="majorHAnsi" w:hAnsiTheme="majorHAnsi" w:cstheme="majorHAnsi"/>
                <w:b/>
                <w:bCs/>
                <w:szCs w:val="18"/>
                <w:lang w:val="en-US"/>
              </w:rPr>
            </w:pPr>
          </w:p>
        </w:tc>
        <w:tc>
          <w:tcPr>
            <w:tcW w:w="4253" w:type="dxa"/>
            <w:tcBorders>
              <w:top w:val="single" w:sz="4" w:space="0" w:color="auto"/>
              <w:bottom w:val="single" w:sz="4" w:space="0" w:color="auto"/>
            </w:tcBorders>
            <w:shd w:val="clear" w:color="auto" w:fill="auto"/>
          </w:tcPr>
          <w:p w14:paraId="1323E0BA" w14:textId="77777777" w:rsidR="00723550" w:rsidRPr="000B05F2" w:rsidRDefault="00723550" w:rsidP="00723550">
            <w:pPr>
              <w:autoSpaceDE w:val="0"/>
              <w:autoSpaceDN w:val="0"/>
              <w:spacing w:line="240" w:lineRule="auto"/>
              <w:jc w:val="thaiDistribute"/>
              <w:rPr>
                <w:rFonts w:asciiTheme="majorHAnsi" w:hAnsiTheme="majorHAnsi" w:cstheme="majorHAnsi"/>
                <w:sz w:val="28"/>
                <w:szCs w:val="28"/>
                <w:lang w:val="en-US"/>
              </w:rPr>
            </w:pPr>
          </w:p>
          <w:p w14:paraId="698CC037" w14:textId="00FA087A" w:rsidR="00723550" w:rsidRPr="0032246D" w:rsidRDefault="00723550" w:rsidP="00723550">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7664C3B7" w14:textId="3CDD8E5A" w:rsidR="00723550" w:rsidRPr="002F27AA" w:rsidRDefault="00723550"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F27AA">
              <w:rPr>
                <w:rFonts w:asciiTheme="majorHAnsi" w:hAnsiTheme="majorHAnsi" w:cstheme="majorHAnsi"/>
                <w:szCs w:val="18"/>
                <w:lang w:val="en-US"/>
              </w:rPr>
              <w:t>Obtained an understanding of the process for assessment of recoverable amounts of</w:t>
            </w:r>
            <w:r w:rsidR="00B375DB" w:rsidRPr="002F27AA">
              <w:rPr>
                <w:rFonts w:asciiTheme="majorHAnsi" w:hAnsiTheme="majorHAnsi" w:cstheme="majorHAnsi"/>
                <w:szCs w:val="18"/>
                <w:lang w:val="en-US"/>
              </w:rPr>
              <w:t xml:space="preserve"> project</w:t>
            </w:r>
            <w:r w:rsidR="003610E9" w:rsidRPr="002F27AA">
              <w:rPr>
                <w:rFonts w:asciiTheme="majorHAnsi" w:hAnsiTheme="majorHAnsi" w:cstheme="majorHAnsi"/>
                <w:szCs w:val="18"/>
                <w:lang w:val="en-US"/>
              </w:rPr>
              <w:t>s</w:t>
            </w:r>
            <w:r w:rsidR="00B375DB" w:rsidRPr="002F27AA">
              <w:rPr>
                <w:rFonts w:asciiTheme="majorHAnsi" w:hAnsiTheme="majorHAnsi" w:cstheme="majorHAnsi"/>
                <w:szCs w:val="18"/>
                <w:lang w:val="en-US"/>
              </w:rPr>
              <w:t xml:space="preserve"> which the Group </w:t>
            </w:r>
            <w:r w:rsidR="00E606D4" w:rsidRPr="002F27AA">
              <w:rPr>
                <w:rFonts w:asciiTheme="majorHAnsi" w:hAnsiTheme="majorHAnsi" w:cstheme="majorHAnsi"/>
                <w:szCs w:val="18"/>
                <w:lang w:val="en-US"/>
              </w:rPr>
              <w:t xml:space="preserve">and the Company have </w:t>
            </w:r>
            <w:r w:rsidRPr="002F27AA">
              <w:rPr>
                <w:rFonts w:asciiTheme="majorHAnsi" w:hAnsiTheme="majorHAnsi" w:cstheme="majorHAnsi"/>
                <w:szCs w:val="18"/>
                <w:lang w:val="en-US"/>
              </w:rPr>
              <w:t>invest</w:t>
            </w:r>
            <w:r w:rsidR="00B375DB" w:rsidRPr="002F27AA">
              <w:rPr>
                <w:rFonts w:asciiTheme="majorHAnsi" w:hAnsiTheme="majorHAnsi" w:cstheme="majorHAnsi"/>
                <w:szCs w:val="18"/>
                <w:lang w:val="en-US"/>
              </w:rPr>
              <w:t>ed</w:t>
            </w:r>
            <w:r w:rsidRPr="002F27AA">
              <w:rPr>
                <w:rFonts w:asciiTheme="majorHAnsi" w:hAnsiTheme="majorHAnsi" w:cstheme="majorHAnsi"/>
                <w:szCs w:val="18"/>
                <w:lang w:val="en-US"/>
              </w:rPr>
              <w:t>.</w:t>
            </w:r>
          </w:p>
          <w:p w14:paraId="1F9B0CEC" w14:textId="57769820" w:rsidR="008C3EDB" w:rsidRPr="002F27AA" w:rsidRDefault="008C3EDB"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F27AA">
              <w:rPr>
                <w:rFonts w:asciiTheme="majorHAnsi" w:hAnsiTheme="majorHAnsi" w:cstheme="majorHAnsi"/>
                <w:szCs w:val="18"/>
                <w:lang w:val="en-US"/>
              </w:rPr>
              <w:t>Considered the</w:t>
            </w:r>
            <w:r w:rsidR="003610E9" w:rsidRPr="002F27AA">
              <w:rPr>
                <w:rFonts w:asciiTheme="majorHAnsi" w:hAnsiTheme="majorHAnsi" w:cstheme="majorHAnsi" w:hint="cs"/>
                <w:szCs w:val="18"/>
                <w:cs/>
                <w:lang w:val="en-US" w:bidi="th-TH"/>
              </w:rPr>
              <w:t xml:space="preserve"> </w:t>
            </w:r>
            <w:r w:rsidR="00761E69" w:rsidRPr="002F27AA">
              <w:rPr>
                <w:rFonts w:asciiTheme="majorHAnsi" w:hAnsiTheme="majorHAnsi" w:cstheme="majorHAnsi"/>
                <w:szCs w:val="18"/>
                <w:lang w:val="en-US"/>
              </w:rPr>
              <w:t xml:space="preserve">feasibility </w:t>
            </w:r>
            <w:r w:rsidR="00D6011A" w:rsidRPr="002F27AA">
              <w:rPr>
                <w:rFonts w:asciiTheme="majorHAnsi" w:hAnsiTheme="majorHAnsi" w:cstheme="majorHAnsi"/>
                <w:szCs w:val="18"/>
                <w:lang w:val="en-US"/>
              </w:rPr>
              <w:t xml:space="preserve">of projects </w:t>
            </w:r>
            <w:r w:rsidR="00A62F26" w:rsidRPr="002F27AA">
              <w:rPr>
                <w:rFonts w:asciiTheme="majorHAnsi" w:hAnsiTheme="majorHAnsi" w:cstheme="majorHAnsi"/>
                <w:szCs w:val="18"/>
                <w:lang w:val="en-US"/>
              </w:rPr>
              <w:t>and</w:t>
            </w:r>
            <w:r w:rsidR="00975B9A" w:rsidRPr="002F27AA">
              <w:rPr>
                <w:rFonts w:asciiTheme="majorHAnsi" w:hAnsiTheme="majorHAnsi" w:cstheme="majorHAnsi"/>
                <w:szCs w:val="18"/>
                <w:lang w:val="en-US"/>
              </w:rPr>
              <w:t xml:space="preserve"> assessed the progress of the project</w:t>
            </w:r>
            <w:r w:rsidR="003610E9" w:rsidRPr="002F27AA">
              <w:rPr>
                <w:rFonts w:asciiTheme="majorHAnsi" w:hAnsiTheme="majorHAnsi" w:cstheme="majorHAnsi"/>
                <w:szCs w:val="18"/>
                <w:lang w:val="en-US"/>
              </w:rPr>
              <w:t>s</w:t>
            </w:r>
            <w:r w:rsidR="00975B9A" w:rsidRPr="002F27AA">
              <w:rPr>
                <w:rFonts w:asciiTheme="majorHAnsi" w:hAnsiTheme="majorHAnsi" w:cstheme="majorHAnsi"/>
                <w:szCs w:val="18"/>
                <w:lang w:val="en-US"/>
              </w:rPr>
              <w:t xml:space="preserve"> in various</w:t>
            </w:r>
            <w:r w:rsidR="00C62658" w:rsidRPr="002F27AA">
              <w:rPr>
                <w:rFonts w:asciiTheme="majorHAnsi" w:hAnsiTheme="majorHAnsi" w:cstheme="majorHAnsi"/>
                <w:szCs w:val="18"/>
                <w:lang w:val="en-US"/>
              </w:rPr>
              <w:t xml:space="preserve"> side</w:t>
            </w:r>
            <w:r w:rsidR="0081269E" w:rsidRPr="002F27AA">
              <w:rPr>
                <w:rFonts w:asciiTheme="majorHAnsi" w:hAnsiTheme="majorHAnsi" w:cstheme="majorHAnsi"/>
                <w:szCs w:val="18"/>
                <w:lang w:val="en-US"/>
              </w:rPr>
              <w:t>s</w:t>
            </w:r>
            <w:r w:rsidR="00864F21" w:rsidRPr="002F27AA">
              <w:rPr>
                <w:rFonts w:asciiTheme="majorHAnsi" w:hAnsiTheme="majorHAnsi" w:cstheme="majorHAnsi"/>
                <w:szCs w:val="18"/>
                <w:lang w:val="en-US"/>
              </w:rPr>
              <w:t xml:space="preserve"> </w:t>
            </w:r>
            <w:r w:rsidR="00267E90" w:rsidRPr="002F27AA">
              <w:rPr>
                <w:rFonts w:asciiTheme="majorHAnsi" w:hAnsiTheme="majorHAnsi" w:cstheme="majorHAnsi"/>
                <w:szCs w:val="18"/>
                <w:lang w:val="en-US"/>
              </w:rPr>
              <w:t>which</w:t>
            </w:r>
            <w:r w:rsidR="00056D37" w:rsidRPr="002F27AA">
              <w:rPr>
                <w:rFonts w:asciiTheme="majorHAnsi" w:hAnsiTheme="majorHAnsi" w:cstheme="majorHAnsi"/>
                <w:szCs w:val="18"/>
                <w:lang w:val="en-US"/>
              </w:rPr>
              <w:t xml:space="preserve"> </w:t>
            </w:r>
            <w:r w:rsidR="00755733" w:rsidRPr="002F27AA">
              <w:rPr>
                <w:rFonts w:asciiTheme="majorHAnsi" w:hAnsiTheme="majorHAnsi" w:cstheme="majorHAnsi"/>
                <w:szCs w:val="18"/>
                <w:lang w:val="en-US"/>
              </w:rPr>
              <w:t>the</w:t>
            </w:r>
            <w:r w:rsidR="00F56D6B" w:rsidRPr="002F27AA">
              <w:rPr>
                <w:rFonts w:asciiTheme="majorHAnsi" w:hAnsiTheme="majorHAnsi" w:cstheme="majorHAnsi"/>
                <w:szCs w:val="18"/>
                <w:lang w:val="en-US"/>
              </w:rPr>
              <w:t xml:space="preserve"> Group’s</w:t>
            </w:r>
            <w:r w:rsidR="00755733" w:rsidRPr="002F27AA">
              <w:rPr>
                <w:rFonts w:asciiTheme="majorHAnsi" w:hAnsiTheme="majorHAnsi" w:cstheme="majorHAnsi"/>
                <w:szCs w:val="18"/>
                <w:lang w:val="en-US"/>
              </w:rPr>
              <w:t xml:space="preserve"> </w:t>
            </w:r>
            <w:r w:rsidR="00887A05" w:rsidRPr="002F27AA">
              <w:rPr>
                <w:rFonts w:asciiTheme="majorHAnsi" w:hAnsiTheme="majorHAnsi" w:cstheme="majorHAnsi"/>
                <w:szCs w:val="18"/>
                <w:lang w:val="en-US"/>
              </w:rPr>
              <w:t xml:space="preserve">and the Company’s </w:t>
            </w:r>
            <w:r w:rsidR="003C3D3F" w:rsidRPr="002F27AA">
              <w:rPr>
                <w:rFonts w:asciiTheme="majorHAnsi" w:hAnsiTheme="majorHAnsi" w:cstheme="majorHAnsi"/>
                <w:szCs w:val="18"/>
                <w:lang w:val="en-US"/>
              </w:rPr>
              <w:t>executive management</w:t>
            </w:r>
            <w:r w:rsidR="00F56D6B" w:rsidRPr="002F27AA">
              <w:rPr>
                <w:rFonts w:asciiTheme="majorHAnsi" w:hAnsiTheme="majorHAnsi" w:cstheme="majorHAnsi"/>
                <w:szCs w:val="18"/>
                <w:lang w:val="en-US"/>
              </w:rPr>
              <w:t xml:space="preserve"> </w:t>
            </w:r>
            <w:r w:rsidR="0085298F" w:rsidRPr="002F27AA">
              <w:rPr>
                <w:rFonts w:asciiTheme="majorHAnsi" w:hAnsiTheme="majorHAnsi" w:cstheme="majorHAnsi"/>
                <w:szCs w:val="18"/>
                <w:lang w:val="en-US"/>
              </w:rPr>
              <w:t xml:space="preserve">have </w:t>
            </w:r>
            <w:r w:rsidR="00F80362" w:rsidRPr="002F27AA">
              <w:rPr>
                <w:rFonts w:asciiTheme="majorHAnsi" w:hAnsiTheme="majorHAnsi" w:cstheme="majorHAnsi"/>
                <w:szCs w:val="18"/>
                <w:lang w:val="en-US"/>
              </w:rPr>
              <w:t xml:space="preserve">periodically </w:t>
            </w:r>
            <w:r w:rsidR="00DA6262" w:rsidRPr="002F27AA">
              <w:rPr>
                <w:rFonts w:asciiTheme="majorHAnsi" w:hAnsiTheme="majorHAnsi" w:cstheme="majorHAnsi"/>
                <w:szCs w:val="18"/>
                <w:lang w:val="en-US"/>
              </w:rPr>
              <w:t xml:space="preserve">discussed </w:t>
            </w:r>
            <w:r w:rsidR="00352FF8" w:rsidRPr="002F27AA">
              <w:rPr>
                <w:rFonts w:asciiTheme="majorHAnsi" w:hAnsiTheme="majorHAnsi" w:cstheme="majorHAnsi"/>
                <w:szCs w:val="18"/>
                <w:lang w:val="en-US"/>
              </w:rPr>
              <w:t xml:space="preserve">with </w:t>
            </w:r>
            <w:r w:rsidR="00F80362" w:rsidRPr="002F27AA">
              <w:rPr>
                <w:rFonts w:asciiTheme="majorHAnsi" w:hAnsiTheme="majorHAnsi" w:cstheme="majorHAnsi"/>
                <w:szCs w:val="18"/>
                <w:lang w:val="en-US"/>
              </w:rPr>
              <w:t>the</w:t>
            </w:r>
            <w:r w:rsidR="00352FF8" w:rsidRPr="002F27AA">
              <w:rPr>
                <w:rFonts w:asciiTheme="majorHAnsi" w:hAnsiTheme="majorHAnsi" w:cstheme="majorHAnsi"/>
                <w:szCs w:val="18"/>
                <w:lang w:val="en-US"/>
              </w:rPr>
              <w:t xml:space="preserve"> project</w:t>
            </w:r>
            <w:r w:rsidR="00F80362" w:rsidRPr="002F27AA">
              <w:rPr>
                <w:rFonts w:asciiTheme="majorHAnsi" w:hAnsiTheme="majorHAnsi" w:cstheme="majorHAnsi"/>
                <w:szCs w:val="18"/>
                <w:lang w:val="en-US"/>
              </w:rPr>
              <w:t xml:space="preserve"> owners and Government Agencies </w:t>
            </w:r>
            <w:r w:rsidR="0091108A" w:rsidRPr="002F27AA">
              <w:rPr>
                <w:rFonts w:asciiTheme="majorHAnsi" w:hAnsiTheme="majorHAnsi" w:cstheme="majorHAnsi"/>
                <w:szCs w:val="18"/>
                <w:lang w:val="en-US"/>
              </w:rPr>
              <w:t xml:space="preserve">along with </w:t>
            </w:r>
            <w:r w:rsidR="0008382E" w:rsidRPr="002F27AA">
              <w:rPr>
                <w:rFonts w:asciiTheme="majorHAnsi" w:hAnsiTheme="majorHAnsi" w:cstheme="majorHAnsi"/>
                <w:szCs w:val="18"/>
                <w:lang w:val="en-US"/>
              </w:rPr>
              <w:t xml:space="preserve">the </w:t>
            </w:r>
            <w:r w:rsidR="0091108A" w:rsidRPr="002F27AA">
              <w:rPr>
                <w:rFonts w:asciiTheme="majorHAnsi" w:hAnsiTheme="majorHAnsi" w:cstheme="majorHAnsi"/>
                <w:szCs w:val="18"/>
                <w:lang w:val="en-US"/>
              </w:rPr>
              <w:t xml:space="preserve">review </w:t>
            </w:r>
            <w:r w:rsidR="0008382E" w:rsidRPr="002F27AA">
              <w:rPr>
                <w:rFonts w:asciiTheme="majorHAnsi" w:hAnsiTheme="majorHAnsi" w:cstheme="majorHAnsi"/>
                <w:szCs w:val="18"/>
                <w:lang w:val="en-US"/>
              </w:rPr>
              <w:t xml:space="preserve">of </w:t>
            </w:r>
            <w:r w:rsidR="0091108A" w:rsidRPr="002F27AA">
              <w:rPr>
                <w:rFonts w:asciiTheme="majorHAnsi" w:hAnsiTheme="majorHAnsi" w:cstheme="majorHAnsi"/>
                <w:szCs w:val="18"/>
                <w:lang w:val="en-US"/>
              </w:rPr>
              <w:t xml:space="preserve">supporting </w:t>
            </w:r>
            <w:r w:rsidR="0008382E" w:rsidRPr="002F27AA">
              <w:rPr>
                <w:rFonts w:asciiTheme="majorHAnsi" w:hAnsiTheme="majorHAnsi" w:cstheme="majorHAnsi"/>
                <w:szCs w:val="18"/>
                <w:lang w:val="en-US"/>
              </w:rPr>
              <w:t>evidence</w:t>
            </w:r>
            <w:r w:rsidR="0091108A" w:rsidRPr="002F27AA">
              <w:rPr>
                <w:rFonts w:asciiTheme="majorHAnsi" w:hAnsiTheme="majorHAnsi" w:cstheme="majorHAnsi"/>
                <w:szCs w:val="18"/>
                <w:lang w:val="en-US"/>
              </w:rPr>
              <w:t xml:space="preserve">. </w:t>
            </w:r>
            <w:r w:rsidR="003C3D3F" w:rsidRPr="002F27AA">
              <w:rPr>
                <w:rFonts w:asciiTheme="majorHAnsi" w:hAnsiTheme="majorHAnsi" w:cstheme="majorHAnsi"/>
                <w:szCs w:val="18"/>
                <w:lang w:val="en-US"/>
              </w:rPr>
              <w:t xml:space="preserve"> </w:t>
            </w:r>
            <w:r w:rsidR="00D77E5E" w:rsidRPr="002F27AA">
              <w:rPr>
                <w:rFonts w:asciiTheme="majorHAnsi" w:hAnsiTheme="majorHAnsi" w:cstheme="majorHAnsi"/>
                <w:szCs w:val="18"/>
                <w:lang w:val="en-US"/>
              </w:rPr>
              <w:t xml:space="preserve"> </w:t>
            </w:r>
          </w:p>
          <w:p w14:paraId="0055D38B" w14:textId="4C6ACCF6" w:rsidR="00D369AF" w:rsidRPr="002F27AA" w:rsidRDefault="00723550"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F57182">
              <w:rPr>
                <w:rFonts w:asciiTheme="majorHAnsi" w:hAnsiTheme="majorHAnsi" w:cstheme="majorHAnsi"/>
                <w:spacing w:val="-6"/>
                <w:szCs w:val="18"/>
                <w:lang w:val="en-US"/>
              </w:rPr>
              <w:t>Considered the reasonableness of</w:t>
            </w:r>
            <w:r w:rsidR="00B808AD" w:rsidRPr="00F57182">
              <w:rPr>
                <w:rFonts w:asciiTheme="majorHAnsi" w:hAnsiTheme="majorHAnsi" w:cstheme="majorHAnsi"/>
                <w:spacing w:val="-6"/>
                <w:szCs w:val="18"/>
                <w:lang w:val="en-US"/>
              </w:rPr>
              <w:t xml:space="preserve"> </w:t>
            </w:r>
            <w:r w:rsidRPr="00F57182">
              <w:rPr>
                <w:rFonts w:asciiTheme="majorHAnsi" w:hAnsiTheme="majorHAnsi" w:cstheme="majorHAnsi"/>
                <w:spacing w:val="-6"/>
                <w:szCs w:val="18"/>
                <w:lang w:val="en-US"/>
              </w:rPr>
              <w:t>management’</w:t>
            </w:r>
            <w:r w:rsidR="00B808AD" w:rsidRPr="00F57182">
              <w:rPr>
                <w:rFonts w:asciiTheme="majorHAnsi" w:hAnsiTheme="majorHAnsi" w:cstheme="majorHAnsi"/>
                <w:spacing w:val="-6"/>
                <w:szCs w:val="18"/>
                <w:lang w:val="en-US"/>
              </w:rPr>
              <w:t>s</w:t>
            </w:r>
            <w:r w:rsidR="00B808AD" w:rsidRPr="002F27AA">
              <w:rPr>
                <w:rFonts w:asciiTheme="majorHAnsi" w:hAnsiTheme="majorHAnsi" w:cstheme="majorHAnsi"/>
                <w:szCs w:val="18"/>
                <w:lang w:val="en-US"/>
              </w:rPr>
              <w:t xml:space="preserve"> </w:t>
            </w:r>
            <w:r w:rsidRPr="00F57182">
              <w:rPr>
                <w:rFonts w:asciiTheme="majorHAnsi" w:hAnsiTheme="majorHAnsi" w:cstheme="majorHAnsi"/>
                <w:spacing w:val="-6"/>
                <w:szCs w:val="18"/>
                <w:lang w:val="en-US"/>
              </w:rPr>
              <w:t>assumptions and procedures used for calculation</w:t>
            </w:r>
            <w:r w:rsidRPr="002F27AA">
              <w:rPr>
                <w:rFonts w:asciiTheme="majorHAnsi" w:hAnsiTheme="majorHAnsi" w:cstheme="majorHAnsi"/>
                <w:szCs w:val="18"/>
                <w:lang w:val="en-US"/>
              </w:rPr>
              <w:t xml:space="preserve"> of cash flows projection</w:t>
            </w:r>
            <w:r w:rsidR="00EC7AA9" w:rsidRPr="002F27AA">
              <w:rPr>
                <w:rFonts w:asciiTheme="majorHAnsi" w:hAnsiTheme="majorHAnsi" w:cstheme="majorHAnsi"/>
                <w:szCs w:val="18"/>
                <w:lang w:val="en-US"/>
              </w:rPr>
              <w:t xml:space="preserve"> </w:t>
            </w:r>
            <w:r w:rsidR="00700A13" w:rsidRPr="002F27AA">
              <w:rPr>
                <w:rFonts w:asciiTheme="majorHAnsi" w:hAnsiTheme="majorHAnsi" w:cstheme="majorHAnsi"/>
                <w:szCs w:val="18"/>
                <w:lang w:val="en-US"/>
              </w:rPr>
              <w:t>including</w:t>
            </w:r>
            <w:r w:rsidRPr="002F27AA">
              <w:rPr>
                <w:rFonts w:asciiTheme="majorHAnsi" w:hAnsiTheme="majorHAnsi" w:cstheme="majorHAnsi"/>
                <w:szCs w:val="18"/>
                <w:lang w:val="en-US"/>
              </w:rPr>
              <w:t xml:space="preserve"> the </w:t>
            </w:r>
            <w:r w:rsidR="005A0A2B" w:rsidRPr="002F27AA">
              <w:rPr>
                <w:rFonts w:asciiTheme="majorHAnsi" w:hAnsiTheme="majorHAnsi" w:cstheme="majorHAnsi"/>
                <w:szCs w:val="18"/>
                <w:lang w:val="en-US"/>
              </w:rPr>
              <w:t xml:space="preserve">review of </w:t>
            </w:r>
            <w:r w:rsidRPr="002F27AA">
              <w:rPr>
                <w:rFonts w:asciiTheme="majorHAnsi" w:hAnsiTheme="majorHAnsi" w:cstheme="majorHAnsi"/>
                <w:szCs w:val="18"/>
                <w:lang w:val="en-US"/>
              </w:rPr>
              <w:t>documents supporting the</w:t>
            </w:r>
            <w:r w:rsidR="00B808AD" w:rsidRPr="002F27AA">
              <w:rPr>
                <w:rFonts w:asciiTheme="majorHAnsi" w:hAnsiTheme="majorHAnsi" w:cstheme="majorHAnsi"/>
                <w:szCs w:val="18"/>
                <w:lang w:val="en-US"/>
              </w:rPr>
              <w:t xml:space="preserve"> </w:t>
            </w:r>
            <w:r w:rsidRPr="002F27AA">
              <w:rPr>
                <w:rFonts w:asciiTheme="majorHAnsi" w:hAnsiTheme="majorHAnsi" w:cstheme="majorHAnsi"/>
                <w:szCs w:val="18"/>
                <w:lang w:val="en-US"/>
              </w:rPr>
              <w:t>best</w:t>
            </w:r>
            <w:r w:rsidR="00B808AD" w:rsidRPr="002F27AA">
              <w:rPr>
                <w:rFonts w:asciiTheme="majorHAnsi" w:hAnsiTheme="majorHAnsi" w:cstheme="majorHAnsi"/>
                <w:szCs w:val="18"/>
                <w:lang w:val="en-US"/>
              </w:rPr>
              <w:t xml:space="preserve"> </w:t>
            </w:r>
            <w:r w:rsidRPr="002F27AA">
              <w:rPr>
                <w:rFonts w:asciiTheme="majorHAnsi" w:hAnsiTheme="majorHAnsi" w:cstheme="majorHAnsi"/>
                <w:szCs w:val="18"/>
                <w:lang w:val="en-US"/>
              </w:rPr>
              <w:t xml:space="preserve">estimates of </w:t>
            </w:r>
            <w:r w:rsidRPr="00F57182">
              <w:rPr>
                <w:rFonts w:asciiTheme="majorHAnsi" w:hAnsiTheme="majorHAnsi" w:cstheme="majorHAnsi"/>
                <w:spacing w:val="-6"/>
                <w:szCs w:val="18"/>
                <w:lang w:val="en-US"/>
              </w:rPr>
              <w:t>management, especially the projected</w:t>
            </w:r>
            <w:r w:rsidR="00036267" w:rsidRPr="00F57182">
              <w:rPr>
                <w:rFonts w:asciiTheme="majorHAnsi" w:hAnsiTheme="majorHAnsi" w:cstheme="majorHAnsi"/>
                <w:spacing w:val="-6"/>
                <w:szCs w:val="18"/>
                <w:lang w:val="en-US"/>
              </w:rPr>
              <w:t xml:space="preserve"> </w:t>
            </w:r>
            <w:r w:rsidRPr="00F57182">
              <w:rPr>
                <w:rFonts w:asciiTheme="majorHAnsi" w:hAnsiTheme="majorHAnsi" w:cstheme="majorHAnsi"/>
                <w:spacing w:val="-6"/>
                <w:szCs w:val="18"/>
                <w:lang w:val="en-US"/>
              </w:rPr>
              <w:t>revenues,</w:t>
            </w:r>
            <w:r w:rsidRPr="002F27AA">
              <w:rPr>
                <w:rFonts w:asciiTheme="majorHAnsi" w:hAnsiTheme="majorHAnsi" w:cstheme="majorHAnsi"/>
                <w:szCs w:val="18"/>
                <w:lang w:val="en-US"/>
              </w:rPr>
              <w:t xml:space="preserve"> gross </w:t>
            </w:r>
            <w:proofErr w:type="gramStart"/>
            <w:r w:rsidRPr="002F27AA">
              <w:rPr>
                <w:rFonts w:asciiTheme="majorHAnsi" w:hAnsiTheme="majorHAnsi" w:cstheme="majorHAnsi"/>
                <w:szCs w:val="18"/>
                <w:lang w:val="en-US"/>
              </w:rPr>
              <w:t>margins</w:t>
            </w:r>
            <w:proofErr w:type="gramEnd"/>
            <w:r w:rsidRPr="002F27AA">
              <w:rPr>
                <w:rFonts w:asciiTheme="majorHAnsi" w:hAnsiTheme="majorHAnsi" w:cstheme="majorHAnsi"/>
                <w:szCs w:val="18"/>
                <w:lang w:val="en-US"/>
              </w:rPr>
              <w:t xml:space="preserve"> and operating </w:t>
            </w:r>
            <w:r w:rsidR="00115FEB" w:rsidRPr="002F27AA">
              <w:rPr>
                <w:rFonts w:asciiTheme="majorHAnsi" w:hAnsiTheme="majorHAnsi" w:cstheme="majorHAnsi"/>
                <w:szCs w:val="18"/>
                <w:lang w:val="en-US"/>
              </w:rPr>
              <w:t>profit</w:t>
            </w:r>
            <w:r w:rsidR="00B53A6D" w:rsidRPr="002F27AA">
              <w:rPr>
                <w:rFonts w:asciiTheme="majorHAnsi" w:hAnsiTheme="majorHAnsi" w:cstheme="majorHAnsi"/>
                <w:szCs w:val="18"/>
                <w:lang w:val="en-US"/>
              </w:rPr>
              <w:t>s</w:t>
            </w:r>
            <w:r w:rsidRPr="002F27AA">
              <w:rPr>
                <w:rFonts w:asciiTheme="majorHAnsi" w:hAnsiTheme="majorHAnsi" w:cstheme="majorHAnsi"/>
                <w:szCs w:val="18"/>
                <w:lang w:val="en-US"/>
              </w:rPr>
              <w:t xml:space="preserve"> </w:t>
            </w:r>
            <w:r w:rsidR="002C0685" w:rsidRPr="002F27AA">
              <w:rPr>
                <w:rFonts w:asciiTheme="majorHAnsi" w:hAnsiTheme="majorHAnsi" w:cstheme="majorHAnsi"/>
                <w:szCs w:val="18"/>
                <w:lang w:val="en-US"/>
              </w:rPr>
              <w:t xml:space="preserve">from </w:t>
            </w:r>
            <w:r w:rsidR="00DD0DCA" w:rsidRPr="002F27AA">
              <w:rPr>
                <w:rFonts w:asciiTheme="majorHAnsi" w:hAnsiTheme="majorHAnsi" w:cstheme="majorHAnsi"/>
                <w:szCs w:val="18"/>
                <w:lang w:val="en-US"/>
              </w:rPr>
              <w:t>the project</w:t>
            </w:r>
            <w:r w:rsidR="00B53A6D" w:rsidRPr="002F27AA">
              <w:rPr>
                <w:rFonts w:asciiTheme="majorHAnsi" w:hAnsiTheme="majorHAnsi" w:cstheme="majorHAnsi"/>
                <w:szCs w:val="18"/>
                <w:lang w:val="en-US"/>
              </w:rPr>
              <w:t>s</w:t>
            </w:r>
            <w:r w:rsidR="00FC4D49" w:rsidRPr="002F27AA">
              <w:rPr>
                <w:rFonts w:asciiTheme="majorHAnsi" w:hAnsiTheme="majorHAnsi" w:cstheme="majorHAnsi"/>
                <w:szCs w:val="18"/>
                <w:lang w:val="en-US"/>
              </w:rPr>
              <w:t xml:space="preserve"> </w:t>
            </w:r>
            <w:r w:rsidR="00DD0DCA" w:rsidRPr="002F27AA">
              <w:rPr>
                <w:rFonts w:asciiTheme="majorHAnsi" w:hAnsiTheme="majorHAnsi" w:cstheme="majorHAnsi"/>
                <w:szCs w:val="18"/>
                <w:lang w:val="en-US"/>
              </w:rPr>
              <w:t xml:space="preserve">which </w:t>
            </w:r>
            <w:r w:rsidR="005E3DE2" w:rsidRPr="002F27AA">
              <w:rPr>
                <w:rFonts w:asciiTheme="majorHAnsi" w:hAnsiTheme="majorHAnsi" w:cstheme="majorHAnsi"/>
                <w:szCs w:val="18"/>
                <w:lang w:val="en-US"/>
              </w:rPr>
              <w:t>the</w:t>
            </w:r>
            <w:r w:rsidR="00B53A6D" w:rsidRPr="002F27AA">
              <w:rPr>
                <w:rFonts w:asciiTheme="majorHAnsi" w:hAnsiTheme="majorHAnsi" w:cstheme="majorHAnsi"/>
                <w:szCs w:val="18"/>
                <w:lang w:val="en-US"/>
              </w:rPr>
              <w:t xml:space="preserve"> Group and the</w:t>
            </w:r>
            <w:r w:rsidR="005E3DE2" w:rsidRPr="002F27AA">
              <w:rPr>
                <w:rFonts w:asciiTheme="majorHAnsi" w:hAnsiTheme="majorHAnsi" w:cstheme="majorHAnsi"/>
                <w:szCs w:val="18"/>
                <w:lang w:val="en-US"/>
              </w:rPr>
              <w:t xml:space="preserve"> Company</w:t>
            </w:r>
            <w:r w:rsidR="006F1403" w:rsidRPr="002F27AA">
              <w:rPr>
                <w:rFonts w:asciiTheme="majorHAnsi" w:hAnsiTheme="majorHAnsi" w:cstheme="majorHAnsi"/>
                <w:szCs w:val="18"/>
                <w:lang w:val="en-US"/>
              </w:rPr>
              <w:t xml:space="preserve"> invested.</w:t>
            </w:r>
          </w:p>
          <w:p w14:paraId="79AFAE3C" w14:textId="7F7745B8" w:rsidR="00744E6A" w:rsidRPr="00600DD9" w:rsidRDefault="00723550"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F27AA">
              <w:rPr>
                <w:rFonts w:asciiTheme="majorHAnsi" w:hAnsiTheme="majorHAnsi" w:cstheme="majorHAnsi"/>
                <w:szCs w:val="18"/>
                <w:lang w:val="en-US"/>
              </w:rPr>
              <w:t>Considered the adequacy of the Group’s and Company’s disclosures for investments in projects</w:t>
            </w:r>
            <w:r w:rsidR="00600DD9" w:rsidRPr="002F27AA">
              <w:rPr>
                <w:rFonts w:asciiTheme="majorHAnsi" w:hAnsiTheme="majorHAnsi" w:cstheme="majorHAnsi" w:hint="cs"/>
                <w:szCs w:val="18"/>
                <w:cs/>
                <w:lang w:val="en-US" w:bidi="th-TH"/>
              </w:rPr>
              <w:t xml:space="preserve"> </w:t>
            </w:r>
            <w:r w:rsidR="00600DD9" w:rsidRPr="002F27AA">
              <w:rPr>
                <w:rFonts w:asciiTheme="majorHAnsi" w:hAnsiTheme="majorHAnsi" w:cstheme="majorHAnsi"/>
                <w:szCs w:val="18"/>
                <w:lang w:val="en-US"/>
              </w:rPr>
              <w:t>under development</w:t>
            </w:r>
            <w:r w:rsidRPr="002F27AA">
              <w:rPr>
                <w:rFonts w:asciiTheme="majorHAnsi" w:hAnsiTheme="majorHAnsi" w:cstheme="majorHAnsi"/>
                <w:szCs w:val="18"/>
                <w:lang w:val="en-US"/>
              </w:rPr>
              <w:t>.</w:t>
            </w:r>
          </w:p>
        </w:tc>
      </w:tr>
      <w:tr w:rsidR="00C74F5B" w:rsidRPr="0032246D" w14:paraId="78DDAB7A" w14:textId="77777777" w:rsidTr="00B375DB">
        <w:tc>
          <w:tcPr>
            <w:tcW w:w="4106" w:type="dxa"/>
            <w:tcBorders>
              <w:top w:val="single" w:sz="4" w:space="0" w:color="auto"/>
              <w:bottom w:val="single" w:sz="4" w:space="0" w:color="auto"/>
            </w:tcBorders>
            <w:shd w:val="clear" w:color="auto" w:fill="auto"/>
          </w:tcPr>
          <w:p w14:paraId="636821DE" w14:textId="77777777" w:rsidR="00C74F5B" w:rsidRDefault="00C74F5B" w:rsidP="00C74F5B">
            <w:pPr>
              <w:autoSpaceDE w:val="0"/>
              <w:autoSpaceDN w:val="0"/>
              <w:spacing w:after="0" w:line="360" w:lineRule="auto"/>
              <w:ind w:left="258"/>
              <w:jc w:val="thaiDistribute"/>
              <w:rPr>
                <w:rFonts w:asciiTheme="majorHAnsi" w:hAnsiTheme="majorHAnsi" w:cstheme="majorHAnsi"/>
                <w:b/>
                <w:bCs/>
                <w:szCs w:val="18"/>
                <w:lang w:val="en-US"/>
              </w:rPr>
            </w:pPr>
          </w:p>
          <w:p w14:paraId="2CE834AA" w14:textId="7D3E2BB5" w:rsidR="00C74F5B" w:rsidRDefault="00C74F5B" w:rsidP="00C74F5B">
            <w:pPr>
              <w:autoSpaceDE w:val="0"/>
              <w:autoSpaceDN w:val="0"/>
              <w:adjustRightInd w:val="0"/>
              <w:spacing w:line="360" w:lineRule="auto"/>
              <w:jc w:val="both"/>
              <w:rPr>
                <w:rFonts w:asciiTheme="majorHAnsi" w:hAnsiTheme="majorHAnsi" w:cstheme="majorHAnsi"/>
                <w:b/>
                <w:bCs/>
                <w:szCs w:val="18"/>
                <w:lang w:val="en-US"/>
              </w:rPr>
            </w:pPr>
            <w:r>
              <w:rPr>
                <w:rFonts w:asciiTheme="majorHAnsi" w:hAnsiTheme="majorHAnsi" w:cstheme="majorHAnsi"/>
                <w:b/>
                <w:bCs/>
                <w:szCs w:val="18"/>
                <w:lang w:val="en-US"/>
              </w:rPr>
              <w:t>Share-based payment transaction and</w:t>
            </w:r>
            <w:r w:rsidR="00213E60">
              <w:rPr>
                <w:rFonts w:asciiTheme="majorHAnsi" w:hAnsiTheme="majorHAnsi" w:cstheme="majorHAnsi"/>
                <w:b/>
                <w:bCs/>
                <w:szCs w:val="18"/>
                <w:lang w:val="en-US"/>
              </w:rPr>
              <w:t xml:space="preserve"> gain </w:t>
            </w:r>
            <w:r w:rsidR="00F63F3E">
              <w:rPr>
                <w:rFonts w:asciiTheme="majorHAnsi" w:hAnsiTheme="majorHAnsi" w:cstheme="majorHAnsi"/>
                <w:b/>
                <w:bCs/>
                <w:szCs w:val="18"/>
                <w:lang w:val="en-US"/>
              </w:rPr>
              <w:t>from the loss of control in subsidiary</w:t>
            </w:r>
            <w:r w:rsidR="00213E60">
              <w:rPr>
                <w:rFonts w:asciiTheme="majorHAnsi" w:hAnsiTheme="majorHAnsi" w:cstheme="majorHAnsi"/>
                <w:b/>
                <w:bCs/>
                <w:szCs w:val="18"/>
                <w:lang w:val="en-US"/>
              </w:rPr>
              <w:t xml:space="preserve"> </w:t>
            </w:r>
          </w:p>
          <w:p w14:paraId="633930A0" w14:textId="77777777" w:rsidR="00C74F5B" w:rsidRPr="0038479B" w:rsidRDefault="00C74F5B" w:rsidP="00C74F5B">
            <w:pPr>
              <w:autoSpaceDE w:val="0"/>
              <w:autoSpaceDN w:val="0"/>
              <w:spacing w:after="0" w:line="360" w:lineRule="auto"/>
              <w:ind w:left="258"/>
              <w:jc w:val="thaiDistribute"/>
              <w:rPr>
                <w:rFonts w:asciiTheme="majorHAnsi" w:hAnsiTheme="majorHAnsi" w:cstheme="majorHAnsi"/>
                <w:b/>
                <w:bCs/>
                <w:sz w:val="12"/>
                <w:szCs w:val="12"/>
                <w:lang w:val="en-US"/>
              </w:rPr>
            </w:pPr>
          </w:p>
          <w:p w14:paraId="0E100A3F" w14:textId="5E77EB5E" w:rsidR="00BA7492" w:rsidRPr="00804952" w:rsidRDefault="00C74F5B" w:rsidP="00F57182">
            <w:pPr>
              <w:tabs>
                <w:tab w:val="left" w:pos="450"/>
                <w:tab w:val="left" w:pos="540"/>
              </w:tabs>
              <w:spacing w:after="0" w:line="360" w:lineRule="auto"/>
              <w:jc w:val="thaiDistribute"/>
              <w:rPr>
                <w:rFonts w:asciiTheme="majorHAnsi" w:hAnsiTheme="majorHAnsi" w:cstheme="majorHAnsi"/>
                <w:spacing w:val="-2"/>
                <w:szCs w:val="18"/>
                <w:lang w:val="en-US"/>
              </w:rPr>
            </w:pPr>
            <w:r>
              <w:rPr>
                <w:rFonts w:asciiTheme="majorHAnsi" w:hAnsiTheme="majorHAnsi" w:cstheme="majorHAnsi"/>
                <w:spacing w:val="-2"/>
                <w:szCs w:val="18"/>
                <w:lang w:val="en-US"/>
              </w:rPr>
              <w:t>T</w:t>
            </w:r>
            <w:r w:rsidRPr="00847FE8">
              <w:rPr>
                <w:rFonts w:asciiTheme="majorHAnsi" w:hAnsiTheme="majorHAnsi" w:cstheme="majorHAnsi"/>
                <w:spacing w:val="-2"/>
                <w:szCs w:val="18"/>
                <w:lang w:val="en-US"/>
              </w:rPr>
              <w:t xml:space="preserve">he </w:t>
            </w:r>
            <w:r w:rsidR="00856B3B">
              <w:rPr>
                <w:rFonts w:asciiTheme="majorHAnsi" w:hAnsiTheme="majorHAnsi" w:cstheme="majorHAnsi"/>
                <w:spacing w:val="-2"/>
                <w:szCs w:val="18"/>
                <w:lang w:val="en-US"/>
              </w:rPr>
              <w:t xml:space="preserve">Company has restated the financial statement from the impact </w:t>
            </w:r>
            <w:r w:rsidR="000E6DE6" w:rsidRPr="00804952">
              <w:rPr>
                <w:rFonts w:asciiTheme="majorHAnsi" w:hAnsiTheme="majorHAnsi" w:cstheme="majorHAnsi"/>
                <w:spacing w:val="-2"/>
                <w:szCs w:val="18"/>
                <w:lang w:val="en-US"/>
              </w:rPr>
              <w:t xml:space="preserve">of the increase in shares capital and change in the shareholder structure of an overseas subsidiary </w:t>
            </w:r>
            <w:r w:rsidR="000D12D8" w:rsidRPr="00804952">
              <w:rPr>
                <w:rFonts w:asciiTheme="majorHAnsi" w:hAnsiTheme="majorHAnsi" w:cstheme="majorHAnsi"/>
                <w:spacing w:val="-2"/>
                <w:szCs w:val="18"/>
                <w:lang w:val="en-US"/>
              </w:rPr>
              <w:t xml:space="preserve">as discussed in Note </w:t>
            </w:r>
            <w:r w:rsidR="00FD3DCA" w:rsidRPr="00804952">
              <w:rPr>
                <w:rFonts w:asciiTheme="majorHAnsi" w:hAnsiTheme="majorHAnsi" w:cstheme="majorHAnsi"/>
                <w:spacing w:val="-2"/>
                <w:szCs w:val="18"/>
                <w:lang w:val="en-US"/>
              </w:rPr>
              <w:t>6</w:t>
            </w:r>
            <w:r w:rsidR="000D12D8" w:rsidRPr="00804952">
              <w:rPr>
                <w:rFonts w:asciiTheme="majorHAnsi" w:hAnsiTheme="majorHAnsi" w:cstheme="majorHAnsi"/>
                <w:spacing w:val="-2"/>
                <w:szCs w:val="18"/>
                <w:lang w:val="en-US"/>
              </w:rPr>
              <w:t xml:space="preserve"> to the financial statement</w:t>
            </w:r>
            <w:r w:rsidR="00617739" w:rsidRPr="00804952">
              <w:rPr>
                <w:rFonts w:asciiTheme="majorHAnsi" w:hAnsiTheme="majorHAnsi" w:cstheme="majorHAnsi"/>
                <w:spacing w:val="-2"/>
                <w:szCs w:val="18"/>
                <w:lang w:val="en-US"/>
              </w:rPr>
              <w:t xml:space="preserve">. The Company </w:t>
            </w:r>
            <w:r w:rsidR="00540D75">
              <w:rPr>
                <w:rFonts w:asciiTheme="majorHAnsi" w:hAnsiTheme="majorHAnsi" w:cstheme="majorHAnsi"/>
                <w:spacing w:val="-2"/>
                <w:szCs w:val="18"/>
                <w:lang w:val="en-US"/>
              </w:rPr>
              <w:t xml:space="preserve">recognizes </w:t>
            </w:r>
            <w:r w:rsidR="00717525" w:rsidRPr="00804952">
              <w:rPr>
                <w:rFonts w:asciiTheme="majorHAnsi" w:hAnsiTheme="majorHAnsi" w:cstheme="majorHAnsi"/>
                <w:spacing w:val="-2"/>
                <w:szCs w:val="18"/>
                <w:lang w:val="en-US"/>
              </w:rPr>
              <w:t xml:space="preserve">the impact </w:t>
            </w:r>
            <w:r w:rsidR="00540D75">
              <w:rPr>
                <w:rFonts w:asciiTheme="majorHAnsi" w:hAnsiTheme="majorHAnsi" w:cstheme="majorHAnsi"/>
                <w:spacing w:val="-2"/>
                <w:szCs w:val="18"/>
                <w:lang w:val="en-US"/>
              </w:rPr>
              <w:t>from</w:t>
            </w:r>
            <w:r w:rsidR="00717525" w:rsidRPr="00804952">
              <w:rPr>
                <w:rFonts w:asciiTheme="majorHAnsi" w:hAnsiTheme="majorHAnsi" w:cstheme="majorHAnsi"/>
                <w:spacing w:val="-2"/>
                <w:szCs w:val="18"/>
                <w:lang w:val="en-US"/>
              </w:rPr>
              <w:t xml:space="preserve"> shares-based payment transaction of Baht </w:t>
            </w:r>
            <w:r w:rsidR="00576F7E">
              <w:rPr>
                <w:rFonts w:asciiTheme="majorHAnsi" w:hAnsiTheme="majorHAnsi" w:cstheme="majorHAnsi"/>
                <w:spacing w:val="-2"/>
                <w:szCs w:val="18"/>
                <w:lang w:val="en-US"/>
              </w:rPr>
              <w:t>1,543.14</w:t>
            </w:r>
            <w:r w:rsidR="00717525" w:rsidRPr="00804952">
              <w:rPr>
                <w:rFonts w:asciiTheme="majorHAnsi" w:hAnsiTheme="majorHAnsi" w:cstheme="majorHAnsi"/>
                <w:spacing w:val="-2"/>
                <w:szCs w:val="18"/>
                <w:lang w:val="en-US"/>
              </w:rPr>
              <w:t xml:space="preserve"> million and recognize</w:t>
            </w:r>
            <w:r w:rsidR="006D2851" w:rsidRPr="00804952">
              <w:rPr>
                <w:rFonts w:asciiTheme="majorHAnsi" w:hAnsiTheme="majorHAnsi" w:cstheme="majorHAnsi"/>
                <w:spacing w:val="-2"/>
                <w:szCs w:val="18"/>
                <w:lang w:val="en-US"/>
              </w:rPr>
              <w:t>s</w:t>
            </w:r>
            <w:r w:rsidR="00717525" w:rsidRPr="00804952">
              <w:rPr>
                <w:rFonts w:asciiTheme="majorHAnsi" w:hAnsiTheme="majorHAnsi" w:cstheme="majorHAnsi"/>
                <w:spacing w:val="-2"/>
                <w:szCs w:val="18"/>
                <w:lang w:val="en-US"/>
              </w:rPr>
              <w:t xml:space="preserve"> the investment retained in the former subsidiary </w:t>
            </w:r>
            <w:r w:rsidR="00F57182">
              <w:rPr>
                <w:rFonts w:asciiTheme="majorHAnsi" w:hAnsiTheme="majorHAnsi" w:cstheme="majorHAnsi"/>
                <w:spacing w:val="-2"/>
                <w:szCs w:val="18"/>
                <w:lang w:val="en-US"/>
              </w:rPr>
              <w:t xml:space="preserve">      </w:t>
            </w:r>
            <w:r w:rsidR="00717525" w:rsidRPr="00804952">
              <w:rPr>
                <w:rFonts w:asciiTheme="majorHAnsi" w:hAnsiTheme="majorHAnsi" w:cstheme="majorHAnsi"/>
                <w:spacing w:val="-2"/>
                <w:szCs w:val="18"/>
                <w:lang w:val="en-US"/>
              </w:rPr>
              <w:t>(</w:t>
            </w:r>
            <w:r w:rsidR="00576F7E">
              <w:rPr>
                <w:rFonts w:asciiTheme="majorHAnsi" w:hAnsiTheme="majorHAnsi" w:cstheme="majorHAnsi"/>
                <w:spacing w:val="-2"/>
                <w:szCs w:val="18"/>
                <w:lang w:val="en-US"/>
              </w:rPr>
              <w:t>joint control</w:t>
            </w:r>
            <w:r w:rsidR="00717525" w:rsidRPr="00804952">
              <w:rPr>
                <w:rFonts w:asciiTheme="majorHAnsi" w:hAnsiTheme="majorHAnsi" w:cstheme="majorHAnsi"/>
                <w:spacing w:val="-2"/>
                <w:szCs w:val="18"/>
                <w:lang w:val="en-US"/>
              </w:rPr>
              <w:t xml:space="preserve"> company at present) at the fair value</w:t>
            </w:r>
            <w:r w:rsidR="00576F7E">
              <w:rPr>
                <w:rFonts w:asciiTheme="majorHAnsi" w:hAnsiTheme="majorHAnsi" w:cstheme="majorHAnsi"/>
                <w:spacing w:val="-2"/>
                <w:szCs w:val="18"/>
                <w:lang w:val="en-US"/>
              </w:rPr>
              <w:t xml:space="preserve"> of Baht 1,295.00 million</w:t>
            </w:r>
            <w:r w:rsidR="00717525" w:rsidRPr="00804952">
              <w:rPr>
                <w:rFonts w:asciiTheme="majorHAnsi" w:hAnsiTheme="majorHAnsi" w:cstheme="majorHAnsi"/>
                <w:spacing w:val="-2"/>
                <w:szCs w:val="18"/>
                <w:lang w:val="en-US"/>
              </w:rPr>
              <w:t xml:space="preserve"> and recognize</w:t>
            </w:r>
            <w:r w:rsidR="00616614" w:rsidRPr="00804952">
              <w:rPr>
                <w:rFonts w:asciiTheme="majorHAnsi" w:hAnsiTheme="majorHAnsi" w:cstheme="majorHAnsi"/>
                <w:spacing w:val="-2"/>
                <w:szCs w:val="18"/>
                <w:lang w:val="en-US"/>
              </w:rPr>
              <w:t>s</w:t>
            </w:r>
            <w:r w:rsidR="009B4B02">
              <w:rPr>
                <w:rFonts w:asciiTheme="majorHAnsi" w:hAnsiTheme="majorHAnsi" w:cstheme="majorHAnsi"/>
                <w:spacing w:val="-2"/>
                <w:szCs w:val="18"/>
                <w:lang w:val="en-US"/>
              </w:rPr>
              <w:t xml:space="preserve"> </w:t>
            </w:r>
            <w:r w:rsidR="009B4B02" w:rsidRPr="009B4B02">
              <w:rPr>
                <w:rFonts w:asciiTheme="majorHAnsi" w:hAnsiTheme="majorHAnsi" w:cstheme="majorHAnsi"/>
                <w:spacing w:val="-2"/>
                <w:szCs w:val="18"/>
                <w:lang w:val="en-US"/>
              </w:rPr>
              <w:t>the difference between the fair value and the derecognizes of carrying amounts of net asset and capital reserve for share-based payment which has been recognized as gain from the loss of control in subsidiary of Baht 2,838.14 million</w:t>
            </w:r>
            <w:r w:rsidR="00D72A9E">
              <w:rPr>
                <w:rFonts w:asciiTheme="majorHAnsi" w:hAnsiTheme="majorHAnsi" w:cstheme="majorHAnsi"/>
                <w:spacing w:val="-2"/>
                <w:szCs w:val="18"/>
                <w:lang w:val="en-US"/>
              </w:rPr>
              <w:t xml:space="preserve"> </w:t>
            </w:r>
            <w:r w:rsidR="00717525" w:rsidRPr="00804952">
              <w:rPr>
                <w:rFonts w:asciiTheme="majorHAnsi" w:hAnsiTheme="majorHAnsi" w:cstheme="majorHAnsi"/>
                <w:spacing w:val="-2"/>
                <w:szCs w:val="18"/>
                <w:lang w:val="en-US"/>
              </w:rPr>
              <w:t xml:space="preserve">in the consolidated financial statements for the year ended 31 December 2019. </w:t>
            </w:r>
          </w:p>
          <w:p w14:paraId="398D4FF6" w14:textId="77777777" w:rsidR="00F57182" w:rsidRPr="00804952" w:rsidRDefault="00F57182" w:rsidP="00F57182">
            <w:pPr>
              <w:tabs>
                <w:tab w:val="left" w:pos="450"/>
                <w:tab w:val="left" w:pos="540"/>
              </w:tabs>
              <w:spacing w:after="0" w:line="360" w:lineRule="auto"/>
              <w:jc w:val="thaiDistribute"/>
              <w:rPr>
                <w:rFonts w:asciiTheme="majorHAnsi" w:hAnsiTheme="majorHAnsi" w:cstheme="majorHAnsi"/>
                <w:spacing w:val="-2"/>
                <w:szCs w:val="18"/>
                <w:lang w:val="en-US"/>
              </w:rPr>
            </w:pPr>
          </w:p>
          <w:p w14:paraId="1CE21216" w14:textId="6AD575FC" w:rsidR="0046449D" w:rsidRPr="0046449D" w:rsidRDefault="00717525" w:rsidP="0046449D">
            <w:pPr>
              <w:tabs>
                <w:tab w:val="left" w:pos="450"/>
                <w:tab w:val="left" w:pos="540"/>
              </w:tabs>
              <w:spacing w:line="360" w:lineRule="auto"/>
              <w:jc w:val="thaiDistribute"/>
              <w:rPr>
                <w:rFonts w:asciiTheme="majorHAnsi" w:hAnsiTheme="majorHAnsi" w:cs="Browallia New"/>
                <w:sz w:val="19"/>
                <w:szCs w:val="24"/>
                <w:lang w:val="en-US" w:bidi="th-TH"/>
              </w:rPr>
            </w:pPr>
            <w:r w:rsidRPr="00804952">
              <w:rPr>
                <w:rFonts w:asciiTheme="majorHAnsi" w:hAnsiTheme="majorHAnsi" w:cstheme="majorHAnsi"/>
                <w:spacing w:val="-2"/>
                <w:szCs w:val="18"/>
                <w:lang w:val="en-US"/>
              </w:rPr>
              <w:t>The appraisal of fair value of such subsidiary</w:t>
            </w:r>
            <w:r w:rsidR="00F029CF" w:rsidRPr="00804952">
              <w:rPr>
                <w:rFonts w:asciiTheme="majorHAnsi" w:hAnsiTheme="majorHAnsi" w:cstheme="majorHAnsi"/>
                <w:spacing w:val="-2"/>
                <w:szCs w:val="18"/>
                <w:lang w:val="en-US"/>
              </w:rPr>
              <w:t xml:space="preserve"> </w:t>
            </w:r>
            <w:proofErr w:type="gramStart"/>
            <w:r w:rsidR="00F029CF" w:rsidRPr="00804952">
              <w:rPr>
                <w:rFonts w:asciiTheme="majorHAnsi" w:hAnsiTheme="majorHAnsi" w:cstheme="majorHAnsi"/>
                <w:spacing w:val="-2"/>
                <w:szCs w:val="18"/>
                <w:lang w:val="en-US"/>
              </w:rPr>
              <w:t>in order to</w:t>
            </w:r>
            <w:proofErr w:type="gramEnd"/>
            <w:r w:rsidR="00F029CF" w:rsidRPr="00804952">
              <w:rPr>
                <w:rFonts w:asciiTheme="majorHAnsi" w:hAnsiTheme="majorHAnsi" w:cstheme="majorHAnsi"/>
                <w:spacing w:val="-2"/>
                <w:szCs w:val="18"/>
                <w:lang w:val="en-US"/>
              </w:rPr>
              <w:t xml:space="preserve"> assess the fair value of the shares</w:t>
            </w:r>
            <w:r w:rsidR="006B1AE4" w:rsidRPr="00804952">
              <w:rPr>
                <w:rFonts w:asciiTheme="majorHAnsi" w:hAnsiTheme="majorHAnsi" w:cstheme="majorHAnsi"/>
                <w:spacing w:val="-2"/>
                <w:szCs w:val="18"/>
                <w:lang w:val="en-US"/>
              </w:rPr>
              <w:t xml:space="preserve"> at the granted date appra</w:t>
            </w:r>
            <w:r w:rsidR="008A30F0" w:rsidRPr="00804952">
              <w:rPr>
                <w:rFonts w:asciiTheme="majorHAnsi" w:hAnsiTheme="majorHAnsi" w:cstheme="majorHAnsi"/>
                <w:spacing w:val="-2"/>
                <w:szCs w:val="18"/>
                <w:lang w:val="en-US"/>
              </w:rPr>
              <w:t>ised</w:t>
            </w:r>
            <w:r w:rsidRPr="00804952">
              <w:rPr>
                <w:rFonts w:asciiTheme="majorHAnsi" w:hAnsiTheme="majorHAnsi" w:cstheme="majorHAnsi"/>
                <w:spacing w:val="-2"/>
                <w:szCs w:val="18"/>
                <w:lang w:val="en-US"/>
              </w:rPr>
              <w:t xml:space="preserve"> by the independent financial advisor using the Income Approach method and discounted the future cash flows to present value. </w:t>
            </w:r>
            <w:r w:rsidR="0090233A" w:rsidRPr="00804952">
              <w:rPr>
                <w:rFonts w:asciiTheme="majorHAnsi" w:hAnsiTheme="majorHAnsi" w:cstheme="majorHAnsi"/>
                <w:spacing w:val="-2"/>
                <w:szCs w:val="18"/>
                <w:lang w:val="en-US"/>
              </w:rPr>
              <w:t xml:space="preserve">The management of the Group </w:t>
            </w:r>
            <w:r w:rsidR="004A1844" w:rsidRPr="00804952">
              <w:rPr>
                <w:rFonts w:asciiTheme="majorHAnsi" w:hAnsiTheme="majorHAnsi" w:cstheme="majorHAnsi"/>
                <w:spacing w:val="-2"/>
                <w:szCs w:val="18"/>
                <w:lang w:val="en-US"/>
              </w:rPr>
              <w:t xml:space="preserve">is required to </w:t>
            </w:r>
            <w:proofErr w:type="gramStart"/>
            <w:r w:rsidR="0090233A" w:rsidRPr="00804952">
              <w:rPr>
                <w:rFonts w:asciiTheme="majorHAnsi" w:hAnsiTheme="majorHAnsi" w:cstheme="majorHAnsi"/>
                <w:spacing w:val="-2"/>
                <w:szCs w:val="18"/>
                <w:lang w:val="en-US"/>
              </w:rPr>
              <w:t>us</w:t>
            </w:r>
            <w:r w:rsidR="004A1844" w:rsidRPr="00804952">
              <w:rPr>
                <w:rFonts w:asciiTheme="majorHAnsi" w:hAnsiTheme="majorHAnsi" w:cstheme="majorHAnsi"/>
                <w:spacing w:val="-2"/>
                <w:szCs w:val="18"/>
                <w:lang w:val="en-US"/>
              </w:rPr>
              <w:t>e</w:t>
            </w:r>
            <w:r w:rsidR="0090233A" w:rsidRPr="00804952">
              <w:rPr>
                <w:rFonts w:asciiTheme="majorHAnsi" w:hAnsiTheme="majorHAnsi" w:cstheme="majorHAnsi"/>
                <w:spacing w:val="-2"/>
                <w:szCs w:val="18"/>
                <w:lang w:val="en-US"/>
              </w:rPr>
              <w:t xml:space="preserve"> highly</w:t>
            </w:r>
            <w:proofErr w:type="gramEnd"/>
            <w:r w:rsidR="004A1844" w:rsidRPr="00804952">
              <w:rPr>
                <w:rFonts w:asciiTheme="majorHAnsi" w:hAnsiTheme="majorHAnsi" w:cstheme="majorHAnsi"/>
                <w:spacing w:val="-2"/>
                <w:szCs w:val="18"/>
                <w:lang w:val="en-US"/>
              </w:rPr>
              <w:t xml:space="preserve"> judgement</w:t>
            </w:r>
            <w:r w:rsidR="00F80EE0" w:rsidRPr="00804952">
              <w:rPr>
                <w:rFonts w:asciiTheme="majorHAnsi" w:hAnsiTheme="majorHAnsi" w:cstheme="majorHAnsi"/>
                <w:spacing w:val="-2"/>
                <w:szCs w:val="18"/>
                <w:lang w:val="en-US"/>
              </w:rPr>
              <w:t xml:space="preserve"> and significant assumptions relating to the</w:t>
            </w:r>
            <w:r w:rsidR="00DB6613" w:rsidRPr="00804952">
              <w:rPr>
                <w:rFonts w:asciiTheme="majorHAnsi" w:hAnsiTheme="majorHAnsi" w:cstheme="majorHAnsi"/>
                <w:spacing w:val="-2"/>
                <w:szCs w:val="18"/>
                <w:lang w:val="en-US"/>
              </w:rPr>
              <w:t xml:space="preserve"> estimate </w:t>
            </w:r>
            <w:r w:rsidR="003719C3" w:rsidRPr="00804952">
              <w:rPr>
                <w:rFonts w:asciiTheme="majorHAnsi" w:hAnsiTheme="majorHAnsi" w:cstheme="majorHAnsi"/>
                <w:spacing w:val="-2"/>
                <w:szCs w:val="18"/>
                <w:lang w:val="en-US"/>
              </w:rPr>
              <w:t xml:space="preserve">expected </w:t>
            </w:r>
            <w:r w:rsidR="00DB6613" w:rsidRPr="00804952">
              <w:rPr>
                <w:rFonts w:asciiTheme="majorHAnsi" w:hAnsiTheme="majorHAnsi" w:cstheme="majorHAnsi"/>
                <w:spacing w:val="-2"/>
                <w:szCs w:val="18"/>
                <w:lang w:val="en-US"/>
              </w:rPr>
              <w:t>future cash inflows and outflows</w:t>
            </w:r>
            <w:r w:rsidR="003719C3" w:rsidRPr="00804952">
              <w:rPr>
                <w:rFonts w:asciiTheme="majorHAnsi" w:hAnsiTheme="majorHAnsi" w:cstheme="majorHAnsi"/>
                <w:spacing w:val="-2"/>
                <w:szCs w:val="18"/>
                <w:lang w:val="en-US"/>
              </w:rPr>
              <w:t xml:space="preserve"> </w:t>
            </w:r>
            <w:r w:rsidRPr="00804952">
              <w:rPr>
                <w:rFonts w:asciiTheme="majorHAnsi" w:hAnsiTheme="majorHAnsi" w:cstheme="majorHAnsi"/>
                <w:spacing w:val="-2"/>
                <w:szCs w:val="18"/>
                <w:lang w:val="en-US"/>
              </w:rPr>
              <w:t>since at present, the concession project</w:t>
            </w:r>
            <w:r w:rsidR="007C2EF3" w:rsidRPr="00804952">
              <w:rPr>
                <w:rFonts w:asciiTheme="majorHAnsi" w:hAnsiTheme="majorHAnsi" w:cstheme="majorHAnsi"/>
                <w:spacing w:val="-2"/>
                <w:szCs w:val="18"/>
                <w:lang w:val="en-US"/>
              </w:rPr>
              <w:t xml:space="preserve"> of the</w:t>
            </w:r>
            <w:r w:rsidR="00F52CE6" w:rsidRPr="00804952">
              <w:rPr>
                <w:rFonts w:asciiTheme="majorHAnsi" w:hAnsiTheme="majorHAnsi" w:cstheme="majorHAnsi"/>
                <w:spacing w:val="-2"/>
                <w:szCs w:val="18"/>
                <w:lang w:val="en-US"/>
              </w:rPr>
              <w:t xml:space="preserve"> </w:t>
            </w:r>
            <w:r w:rsidR="00486782">
              <w:rPr>
                <w:rFonts w:asciiTheme="majorHAnsi" w:hAnsiTheme="majorHAnsi" w:cstheme="majorHAnsi"/>
                <w:spacing w:val="-2"/>
                <w:szCs w:val="18"/>
                <w:lang w:val="en-US"/>
              </w:rPr>
              <w:t>joint control</w:t>
            </w:r>
            <w:r w:rsidR="00F52CE6" w:rsidRPr="00804952">
              <w:rPr>
                <w:rFonts w:asciiTheme="majorHAnsi" w:hAnsiTheme="majorHAnsi" w:cstheme="majorHAnsi"/>
                <w:spacing w:val="-2"/>
                <w:szCs w:val="18"/>
                <w:lang w:val="en-US"/>
              </w:rPr>
              <w:t xml:space="preserve"> company</w:t>
            </w:r>
            <w:r w:rsidR="007C2EF3" w:rsidRPr="00804952">
              <w:rPr>
                <w:rFonts w:asciiTheme="majorHAnsi" w:hAnsiTheme="majorHAnsi" w:cstheme="majorHAnsi"/>
                <w:spacing w:val="-2"/>
                <w:szCs w:val="18"/>
                <w:lang w:val="en-US"/>
              </w:rPr>
              <w:t xml:space="preserve"> </w:t>
            </w:r>
            <w:r w:rsidR="00F52CE6" w:rsidRPr="00804952">
              <w:rPr>
                <w:rFonts w:asciiTheme="majorHAnsi" w:hAnsiTheme="majorHAnsi" w:cstheme="majorHAnsi"/>
                <w:spacing w:val="-2"/>
                <w:szCs w:val="18"/>
                <w:lang w:val="en-US"/>
              </w:rPr>
              <w:t>(</w:t>
            </w:r>
            <w:r w:rsidR="007C2EF3" w:rsidRPr="00804952">
              <w:rPr>
                <w:rFonts w:asciiTheme="majorHAnsi" w:hAnsiTheme="majorHAnsi" w:cstheme="majorHAnsi"/>
                <w:spacing w:val="-2"/>
                <w:szCs w:val="18"/>
                <w:lang w:val="en-US"/>
              </w:rPr>
              <w:t>former subsidiary</w:t>
            </w:r>
            <w:r w:rsidR="00F52CE6" w:rsidRPr="00804952">
              <w:rPr>
                <w:rFonts w:asciiTheme="majorHAnsi" w:hAnsiTheme="majorHAnsi" w:cstheme="majorHAnsi"/>
                <w:spacing w:val="-2"/>
                <w:szCs w:val="18"/>
                <w:lang w:val="en-US"/>
              </w:rPr>
              <w:t>)</w:t>
            </w:r>
            <w:r w:rsidRPr="00804952">
              <w:rPr>
                <w:rFonts w:asciiTheme="majorHAnsi" w:hAnsiTheme="majorHAnsi" w:cstheme="majorHAnsi"/>
                <w:spacing w:val="-2"/>
                <w:szCs w:val="18"/>
                <w:lang w:val="en-US"/>
              </w:rPr>
              <w:t xml:space="preserve"> is </w:t>
            </w:r>
            <w:r w:rsidR="00376AA7" w:rsidRPr="00804952">
              <w:rPr>
                <w:rFonts w:asciiTheme="majorHAnsi" w:hAnsiTheme="majorHAnsi" w:cstheme="majorHAnsi"/>
                <w:spacing w:val="-2"/>
                <w:szCs w:val="18"/>
                <w:lang w:val="en-US"/>
              </w:rPr>
              <w:t>in</w:t>
            </w:r>
            <w:r w:rsidRPr="00804952">
              <w:rPr>
                <w:rFonts w:asciiTheme="majorHAnsi" w:hAnsiTheme="majorHAnsi" w:cstheme="majorHAnsi"/>
                <w:spacing w:val="-2"/>
                <w:szCs w:val="18"/>
                <w:lang w:val="en-US"/>
              </w:rPr>
              <w:t xml:space="preserve"> the construction period.</w:t>
            </w:r>
            <w:r>
              <w:rPr>
                <w:rFonts w:asciiTheme="majorHAnsi" w:hAnsiTheme="majorHAnsi" w:cs="Browallia New"/>
                <w:sz w:val="19"/>
                <w:szCs w:val="24"/>
                <w:lang w:val="en-US" w:bidi="th-TH"/>
              </w:rPr>
              <w:t xml:space="preserve"> </w:t>
            </w:r>
            <w:r w:rsidR="0046449D" w:rsidRPr="0046449D">
              <w:rPr>
                <w:rFonts w:asciiTheme="majorHAnsi" w:hAnsiTheme="majorHAnsi" w:cstheme="majorHAnsi"/>
                <w:spacing w:val="-2"/>
                <w:szCs w:val="18"/>
                <w:lang w:val="en-US"/>
              </w:rPr>
              <w:t xml:space="preserve">The actual cash flows are subject to change which depending on the various factors in the future.  </w:t>
            </w:r>
          </w:p>
          <w:p w14:paraId="78638494" w14:textId="77777777" w:rsidR="0046449D" w:rsidRDefault="0046449D" w:rsidP="00AA6359">
            <w:pPr>
              <w:tabs>
                <w:tab w:val="left" w:pos="450"/>
                <w:tab w:val="left" w:pos="540"/>
              </w:tabs>
              <w:spacing w:line="360" w:lineRule="auto"/>
              <w:jc w:val="thaiDistribute"/>
              <w:rPr>
                <w:rFonts w:asciiTheme="majorHAnsi" w:hAnsiTheme="majorHAnsi" w:cs="Browallia New"/>
                <w:sz w:val="19"/>
                <w:szCs w:val="24"/>
                <w:lang w:val="en-US" w:bidi="th-TH"/>
              </w:rPr>
            </w:pPr>
          </w:p>
          <w:p w14:paraId="619E2862" w14:textId="77777777" w:rsidR="0046449D" w:rsidRDefault="0046449D" w:rsidP="00AA6359">
            <w:pPr>
              <w:tabs>
                <w:tab w:val="left" w:pos="450"/>
                <w:tab w:val="left" w:pos="540"/>
              </w:tabs>
              <w:spacing w:line="360" w:lineRule="auto"/>
              <w:jc w:val="thaiDistribute"/>
              <w:rPr>
                <w:rFonts w:asciiTheme="majorHAnsi" w:hAnsiTheme="majorHAnsi" w:cs="Browallia New"/>
                <w:sz w:val="19"/>
                <w:szCs w:val="24"/>
                <w:lang w:val="en-US" w:bidi="th-TH"/>
              </w:rPr>
            </w:pPr>
          </w:p>
          <w:p w14:paraId="7C9A34E5" w14:textId="20DD3745" w:rsidR="00223CE7" w:rsidRPr="00FD3DCA" w:rsidRDefault="00223CE7" w:rsidP="00AA6359">
            <w:pPr>
              <w:tabs>
                <w:tab w:val="left" w:pos="450"/>
                <w:tab w:val="left" w:pos="540"/>
              </w:tabs>
              <w:spacing w:line="360" w:lineRule="auto"/>
              <w:jc w:val="thaiDistribute"/>
              <w:rPr>
                <w:rFonts w:asciiTheme="majorHAnsi" w:hAnsiTheme="majorHAnsi" w:cs="Browallia New"/>
                <w:sz w:val="19"/>
                <w:szCs w:val="24"/>
                <w:lang w:val="en-US" w:bidi="th-TH"/>
              </w:rPr>
            </w:pPr>
          </w:p>
        </w:tc>
        <w:tc>
          <w:tcPr>
            <w:tcW w:w="4253" w:type="dxa"/>
            <w:tcBorders>
              <w:top w:val="single" w:sz="4" w:space="0" w:color="auto"/>
              <w:bottom w:val="single" w:sz="4" w:space="0" w:color="auto"/>
            </w:tcBorders>
            <w:shd w:val="clear" w:color="auto" w:fill="auto"/>
          </w:tcPr>
          <w:p w14:paraId="3A8DEA0A" w14:textId="77777777" w:rsidR="00C74F5B" w:rsidRDefault="00C74F5B" w:rsidP="0038479B">
            <w:pPr>
              <w:pStyle w:val="ListParagraph"/>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p w14:paraId="715867E8" w14:textId="77777777" w:rsidR="00C74F5B" w:rsidRPr="0032246D" w:rsidRDefault="00C74F5B" w:rsidP="0038479B">
            <w:pPr>
              <w:pStyle w:val="ListParagraph"/>
              <w:tabs>
                <w:tab w:val="left" w:pos="316"/>
              </w:tabs>
              <w:autoSpaceDE w:val="0"/>
              <w:autoSpaceDN w:val="0"/>
              <w:adjustRightInd w:val="0"/>
              <w:spacing w:after="0" w:line="360" w:lineRule="auto"/>
              <w:ind w:left="258"/>
              <w:jc w:val="both"/>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67972D29" w14:textId="77777777" w:rsidR="00C74F5B" w:rsidRPr="0038479B" w:rsidRDefault="00C74F5B" w:rsidP="0038479B">
            <w:pPr>
              <w:pStyle w:val="ListParagraph"/>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p w14:paraId="063052BD" w14:textId="5F721430" w:rsidR="00BA7492" w:rsidRPr="00F57182" w:rsidRDefault="00BA7492" w:rsidP="0038479B">
            <w:pPr>
              <w:pStyle w:val="ListParagraph"/>
              <w:tabs>
                <w:tab w:val="left" w:pos="316"/>
              </w:tabs>
              <w:autoSpaceDE w:val="0"/>
              <w:autoSpaceDN w:val="0"/>
              <w:adjustRightInd w:val="0"/>
              <w:spacing w:after="0" w:line="360" w:lineRule="auto"/>
              <w:ind w:left="258"/>
              <w:jc w:val="both"/>
              <w:rPr>
                <w:rFonts w:asciiTheme="majorHAnsi" w:hAnsiTheme="majorHAnsi" w:cstheme="majorHAnsi"/>
                <w:sz w:val="20"/>
                <w:lang w:val="en-US"/>
              </w:rPr>
            </w:pPr>
          </w:p>
          <w:p w14:paraId="022E9342" w14:textId="7B6619E1" w:rsidR="000434B4" w:rsidRPr="0038479B" w:rsidRDefault="000434B4" w:rsidP="0038479B">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38479B">
              <w:rPr>
                <w:rFonts w:asciiTheme="majorHAnsi" w:hAnsiTheme="majorHAnsi" w:cstheme="majorHAnsi"/>
                <w:szCs w:val="18"/>
                <w:lang w:val="en-US"/>
              </w:rPr>
              <w:t xml:space="preserve">Assessed the competency, independence, and objectivity of the </w:t>
            </w:r>
            <w:r w:rsidR="001C5479" w:rsidRPr="0038479B">
              <w:rPr>
                <w:rFonts w:asciiTheme="majorHAnsi" w:hAnsiTheme="majorHAnsi" w:cstheme="majorHAnsi"/>
                <w:szCs w:val="18"/>
                <w:lang w:val="en-US"/>
              </w:rPr>
              <w:t>independent financial advisor</w:t>
            </w:r>
            <w:r w:rsidR="00041FC6" w:rsidRPr="0038479B">
              <w:rPr>
                <w:rFonts w:asciiTheme="majorHAnsi" w:hAnsiTheme="majorHAnsi" w:cstheme="majorHAnsi"/>
                <w:szCs w:val="18"/>
                <w:lang w:val="en-US"/>
              </w:rPr>
              <w:t>.</w:t>
            </w:r>
          </w:p>
          <w:p w14:paraId="644BE0F5" w14:textId="446355D0" w:rsidR="004A1BCE" w:rsidRPr="0038479B" w:rsidRDefault="004A1BCE" w:rsidP="0038479B">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38479B">
              <w:rPr>
                <w:rFonts w:asciiTheme="majorHAnsi" w:hAnsiTheme="majorHAnsi" w:cstheme="majorHAnsi"/>
                <w:szCs w:val="18"/>
                <w:lang w:val="en-US"/>
              </w:rPr>
              <w:t>Discussed with the</w:t>
            </w:r>
            <w:r w:rsidR="002316B1" w:rsidRPr="0038479B">
              <w:rPr>
                <w:rFonts w:asciiTheme="majorHAnsi" w:hAnsiTheme="majorHAnsi" w:cstheme="majorHAnsi"/>
                <w:szCs w:val="18"/>
                <w:lang w:val="en-US"/>
              </w:rPr>
              <w:t xml:space="preserve"> subsidiary</w:t>
            </w:r>
            <w:r w:rsidR="009802BA" w:rsidRPr="0038479B">
              <w:rPr>
                <w:rFonts w:asciiTheme="majorHAnsi" w:hAnsiTheme="majorHAnsi" w:cstheme="majorHAnsi"/>
                <w:szCs w:val="18"/>
                <w:lang w:val="en-US"/>
              </w:rPr>
              <w:t>’s</w:t>
            </w:r>
            <w:r w:rsidRPr="0038479B">
              <w:rPr>
                <w:rFonts w:asciiTheme="majorHAnsi" w:hAnsiTheme="majorHAnsi" w:cstheme="majorHAnsi"/>
                <w:szCs w:val="18"/>
                <w:lang w:val="en-US"/>
              </w:rPr>
              <w:t xml:space="preserve"> </w:t>
            </w:r>
            <w:r w:rsidR="009802BA" w:rsidRPr="0038479B">
              <w:rPr>
                <w:rFonts w:asciiTheme="majorHAnsi" w:hAnsiTheme="majorHAnsi" w:cstheme="majorHAnsi"/>
                <w:szCs w:val="18"/>
                <w:lang w:val="en-US"/>
              </w:rPr>
              <w:t>m</w:t>
            </w:r>
            <w:r w:rsidRPr="0038479B">
              <w:rPr>
                <w:rFonts w:asciiTheme="majorHAnsi" w:hAnsiTheme="majorHAnsi" w:cstheme="majorHAnsi"/>
                <w:szCs w:val="18"/>
                <w:lang w:val="en-US"/>
              </w:rPr>
              <w:t>anagement and independent</w:t>
            </w:r>
            <w:r w:rsidR="009802BA" w:rsidRPr="0038479B">
              <w:rPr>
                <w:rFonts w:asciiTheme="majorHAnsi" w:hAnsiTheme="majorHAnsi" w:cstheme="majorHAnsi"/>
                <w:szCs w:val="18"/>
                <w:lang w:val="en-US"/>
              </w:rPr>
              <w:t xml:space="preserve"> financial advisor</w:t>
            </w:r>
            <w:r w:rsidRPr="0038479B">
              <w:rPr>
                <w:rFonts w:asciiTheme="majorHAnsi" w:hAnsiTheme="majorHAnsi" w:cstheme="majorHAnsi"/>
                <w:szCs w:val="18"/>
                <w:lang w:val="en-US"/>
              </w:rPr>
              <w:t xml:space="preserve"> to understand the basis used for measurement of the valuation of</w:t>
            </w:r>
            <w:r w:rsidR="00696B16" w:rsidRPr="0038479B">
              <w:rPr>
                <w:rFonts w:asciiTheme="majorHAnsi" w:hAnsiTheme="majorHAnsi" w:cstheme="majorHAnsi"/>
                <w:szCs w:val="18"/>
                <w:lang w:val="en-US"/>
              </w:rPr>
              <w:t xml:space="preserve"> the subsidiary. </w:t>
            </w:r>
          </w:p>
          <w:p w14:paraId="5BCCF3FD" w14:textId="77777777" w:rsidR="000427CC" w:rsidRPr="0038479B" w:rsidRDefault="00CD237E" w:rsidP="0038479B">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38479B">
              <w:rPr>
                <w:rFonts w:asciiTheme="majorHAnsi" w:hAnsiTheme="majorHAnsi" w:cstheme="majorHAnsi"/>
                <w:szCs w:val="18"/>
                <w:lang w:val="en-US"/>
              </w:rPr>
              <w:t>Tested th</w:t>
            </w:r>
            <w:r w:rsidR="00C5723B" w:rsidRPr="0038479B">
              <w:rPr>
                <w:rFonts w:asciiTheme="majorHAnsi" w:hAnsiTheme="majorHAnsi" w:cstheme="majorHAnsi"/>
                <w:szCs w:val="18"/>
                <w:lang w:val="en-US"/>
              </w:rPr>
              <w:t>e calculation</w:t>
            </w:r>
            <w:r w:rsidR="005B4249" w:rsidRPr="0038479B">
              <w:rPr>
                <w:rFonts w:asciiTheme="majorHAnsi" w:hAnsiTheme="majorHAnsi" w:cstheme="majorHAnsi"/>
                <w:szCs w:val="18"/>
                <w:lang w:val="en-US"/>
              </w:rPr>
              <w:t xml:space="preserve"> and</w:t>
            </w:r>
            <w:r w:rsidR="00C5723B" w:rsidRPr="0038479B">
              <w:rPr>
                <w:rFonts w:asciiTheme="majorHAnsi" w:hAnsiTheme="majorHAnsi" w:cstheme="majorHAnsi"/>
                <w:szCs w:val="18"/>
                <w:lang w:val="en-US"/>
              </w:rPr>
              <w:t xml:space="preserve"> c</w:t>
            </w:r>
            <w:r w:rsidR="0043528D" w:rsidRPr="0038479B">
              <w:rPr>
                <w:rFonts w:asciiTheme="majorHAnsi" w:hAnsiTheme="majorHAnsi" w:cstheme="majorHAnsi"/>
                <w:szCs w:val="18"/>
                <w:lang w:val="en-US"/>
              </w:rPr>
              <w:t>onsidered the reasonableness of the</w:t>
            </w:r>
            <w:r w:rsidR="0043528D" w:rsidRPr="0038479B">
              <w:rPr>
                <w:rFonts w:asciiTheme="majorHAnsi" w:hAnsiTheme="majorHAnsi" w:cstheme="majorHAnsi" w:hint="cs"/>
                <w:szCs w:val="18"/>
                <w:cs/>
                <w:lang w:val="en-US" w:bidi="th-TH"/>
              </w:rPr>
              <w:t xml:space="preserve"> </w:t>
            </w:r>
            <w:r w:rsidR="00A22C1A" w:rsidRPr="0038479B">
              <w:rPr>
                <w:rFonts w:asciiTheme="majorHAnsi" w:hAnsiTheme="majorHAnsi" w:cstheme="majorHAnsi"/>
                <w:szCs w:val="18"/>
                <w:lang w:val="en-US"/>
              </w:rPr>
              <w:t xml:space="preserve">valuation </w:t>
            </w:r>
            <w:r w:rsidR="00BF5A0A" w:rsidRPr="0038479B">
              <w:rPr>
                <w:rFonts w:asciiTheme="majorHAnsi" w:hAnsiTheme="majorHAnsi" w:cstheme="majorHAnsi"/>
                <w:szCs w:val="18"/>
                <w:lang w:val="en-US"/>
              </w:rPr>
              <w:t xml:space="preserve">of fair value of subsidiary </w:t>
            </w:r>
            <w:r w:rsidR="008E7E6F" w:rsidRPr="0038479B">
              <w:rPr>
                <w:rFonts w:asciiTheme="majorHAnsi" w:hAnsiTheme="majorHAnsi" w:cstheme="majorHAnsi"/>
                <w:szCs w:val="18"/>
                <w:lang w:val="en-US"/>
              </w:rPr>
              <w:t>includes</w:t>
            </w:r>
            <w:r w:rsidR="00BF5A0A" w:rsidRPr="0038479B">
              <w:rPr>
                <w:rFonts w:asciiTheme="majorHAnsi" w:hAnsiTheme="majorHAnsi" w:cstheme="majorHAnsi"/>
                <w:szCs w:val="18"/>
                <w:lang w:val="en-US"/>
              </w:rPr>
              <w:t xml:space="preserve"> </w:t>
            </w:r>
            <w:r w:rsidR="0043528D" w:rsidRPr="0038479B">
              <w:rPr>
                <w:rFonts w:asciiTheme="majorHAnsi" w:hAnsiTheme="majorHAnsi" w:cstheme="majorHAnsi"/>
                <w:szCs w:val="18"/>
                <w:lang w:val="en-US"/>
              </w:rPr>
              <w:t>key assumptions</w:t>
            </w:r>
            <w:r w:rsidR="00CC7226" w:rsidRPr="0038479B">
              <w:rPr>
                <w:rFonts w:asciiTheme="majorHAnsi" w:hAnsiTheme="majorHAnsi" w:cstheme="majorHAnsi"/>
                <w:szCs w:val="18"/>
                <w:lang w:val="en-US"/>
              </w:rPr>
              <w:t xml:space="preserve"> </w:t>
            </w:r>
            <w:r w:rsidR="0060295A" w:rsidRPr="0038479B">
              <w:rPr>
                <w:rFonts w:asciiTheme="majorHAnsi" w:hAnsiTheme="majorHAnsi" w:cstheme="majorHAnsi"/>
                <w:szCs w:val="18"/>
                <w:lang w:val="en-US"/>
              </w:rPr>
              <w:t>which the</w:t>
            </w:r>
            <w:r w:rsidR="00CC7226" w:rsidRPr="0038479B">
              <w:rPr>
                <w:rFonts w:asciiTheme="majorHAnsi" w:hAnsiTheme="majorHAnsi" w:cstheme="majorHAnsi"/>
                <w:szCs w:val="18"/>
                <w:lang w:val="en-US"/>
              </w:rPr>
              <w:t xml:space="preserve"> management’s subsidiary</w:t>
            </w:r>
            <w:r w:rsidR="0043528D" w:rsidRPr="0038479B">
              <w:rPr>
                <w:rFonts w:asciiTheme="majorHAnsi" w:hAnsiTheme="majorHAnsi" w:cstheme="majorHAnsi"/>
                <w:szCs w:val="18"/>
                <w:lang w:val="en-US"/>
              </w:rPr>
              <w:t xml:space="preserve"> used in </w:t>
            </w:r>
            <w:r w:rsidR="00E54534" w:rsidRPr="0038479B">
              <w:rPr>
                <w:rFonts w:asciiTheme="majorHAnsi" w:hAnsiTheme="majorHAnsi" w:cstheme="majorHAnsi"/>
                <w:szCs w:val="18"/>
                <w:lang w:val="en-US"/>
              </w:rPr>
              <w:t>such</w:t>
            </w:r>
            <w:r w:rsidR="0043528D" w:rsidRPr="0038479B">
              <w:rPr>
                <w:rFonts w:asciiTheme="majorHAnsi" w:hAnsiTheme="majorHAnsi" w:cstheme="majorHAnsi"/>
                <w:szCs w:val="18"/>
                <w:lang w:val="en-US"/>
              </w:rPr>
              <w:t xml:space="preserve"> valuation</w:t>
            </w:r>
            <w:r w:rsidR="00E54534" w:rsidRPr="0038479B">
              <w:rPr>
                <w:rFonts w:asciiTheme="majorHAnsi" w:hAnsiTheme="majorHAnsi" w:cstheme="majorHAnsi"/>
                <w:szCs w:val="18"/>
                <w:lang w:val="en-US"/>
              </w:rPr>
              <w:t>.</w:t>
            </w:r>
          </w:p>
          <w:p w14:paraId="42EC2895" w14:textId="3616224E" w:rsidR="00544826" w:rsidRPr="0038479B" w:rsidRDefault="000427CC" w:rsidP="0038479B">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F57182">
              <w:rPr>
                <w:rFonts w:asciiTheme="majorHAnsi" w:hAnsiTheme="majorHAnsi" w:cstheme="majorHAnsi"/>
                <w:spacing w:val="-6"/>
                <w:szCs w:val="18"/>
                <w:lang w:val="en-US"/>
              </w:rPr>
              <w:t>Considered the reasonableness of the</w:t>
            </w:r>
            <w:r w:rsidRPr="00F57182">
              <w:rPr>
                <w:rFonts w:asciiTheme="majorHAnsi" w:hAnsiTheme="majorHAnsi" w:cstheme="majorHAnsi" w:hint="cs"/>
                <w:spacing w:val="-6"/>
                <w:szCs w:val="18"/>
                <w:cs/>
                <w:lang w:val="en-US" w:bidi="th-TH"/>
              </w:rPr>
              <w:t xml:space="preserve"> </w:t>
            </w:r>
            <w:r w:rsidR="009463A4" w:rsidRPr="00F57182">
              <w:rPr>
                <w:rFonts w:asciiTheme="majorHAnsi" w:hAnsiTheme="majorHAnsi" w:cstheme="majorHAnsi"/>
                <w:spacing w:val="-6"/>
                <w:szCs w:val="18"/>
                <w:lang w:val="en-US"/>
              </w:rPr>
              <w:t>information</w:t>
            </w:r>
            <w:r w:rsidR="009463A4" w:rsidRPr="0038479B">
              <w:rPr>
                <w:rFonts w:asciiTheme="majorHAnsi" w:hAnsiTheme="majorHAnsi" w:cstheme="majorHAnsi"/>
                <w:szCs w:val="18"/>
                <w:lang w:val="en-US"/>
              </w:rPr>
              <w:t xml:space="preserve"> </w:t>
            </w:r>
            <w:r w:rsidR="005342DE" w:rsidRPr="0038479B">
              <w:rPr>
                <w:rFonts w:asciiTheme="majorHAnsi" w:hAnsiTheme="majorHAnsi" w:cstheme="majorHAnsi"/>
                <w:szCs w:val="18"/>
                <w:lang w:val="en-US"/>
              </w:rPr>
              <w:t xml:space="preserve">used </w:t>
            </w:r>
            <w:r w:rsidR="00751080" w:rsidRPr="0038479B">
              <w:rPr>
                <w:rFonts w:asciiTheme="majorHAnsi" w:hAnsiTheme="majorHAnsi" w:cstheme="majorHAnsi"/>
                <w:szCs w:val="18"/>
                <w:lang w:val="en-US"/>
              </w:rPr>
              <w:t>to estimate</w:t>
            </w:r>
            <w:r w:rsidR="005342DE" w:rsidRPr="0038479B">
              <w:rPr>
                <w:rFonts w:asciiTheme="majorHAnsi" w:hAnsiTheme="majorHAnsi" w:cstheme="majorHAnsi"/>
                <w:szCs w:val="18"/>
                <w:lang w:val="en-US"/>
              </w:rPr>
              <w:t xml:space="preserve"> the</w:t>
            </w:r>
            <w:r w:rsidR="00605F22" w:rsidRPr="0038479B">
              <w:rPr>
                <w:rFonts w:asciiTheme="majorHAnsi" w:hAnsiTheme="majorHAnsi" w:cstheme="majorHAnsi"/>
                <w:szCs w:val="18"/>
                <w:lang w:val="en-US"/>
              </w:rPr>
              <w:t xml:space="preserve"> fair value of</w:t>
            </w:r>
            <w:r w:rsidR="00171C03" w:rsidRPr="0038479B">
              <w:rPr>
                <w:rFonts w:asciiTheme="majorHAnsi" w:hAnsiTheme="majorHAnsi" w:cstheme="majorHAnsi"/>
                <w:szCs w:val="18"/>
                <w:lang w:val="en-US"/>
              </w:rPr>
              <w:t xml:space="preserve"> subsidiary and key </w:t>
            </w:r>
            <w:r w:rsidR="00582BFC" w:rsidRPr="0038479B">
              <w:rPr>
                <w:rFonts w:asciiTheme="majorHAnsi" w:hAnsiTheme="majorHAnsi" w:cstheme="majorHAnsi"/>
                <w:szCs w:val="18"/>
                <w:lang w:val="en-US"/>
              </w:rPr>
              <w:t xml:space="preserve">information </w:t>
            </w:r>
            <w:r w:rsidRPr="0038479B">
              <w:rPr>
                <w:rFonts w:asciiTheme="majorHAnsi" w:hAnsiTheme="majorHAnsi" w:cstheme="majorHAnsi"/>
                <w:szCs w:val="18"/>
                <w:lang w:val="en-US"/>
              </w:rPr>
              <w:t>used</w:t>
            </w:r>
            <w:r w:rsidR="00CD3A8D" w:rsidRPr="0038479B">
              <w:rPr>
                <w:rFonts w:asciiTheme="majorHAnsi" w:hAnsiTheme="majorHAnsi" w:cstheme="majorHAnsi"/>
                <w:szCs w:val="18"/>
                <w:lang w:val="en-US"/>
              </w:rPr>
              <w:t xml:space="preserve"> </w:t>
            </w:r>
            <w:r w:rsidR="00605F22" w:rsidRPr="0038479B">
              <w:rPr>
                <w:rFonts w:asciiTheme="majorHAnsi" w:hAnsiTheme="majorHAnsi" w:cstheme="majorHAnsi"/>
                <w:szCs w:val="18"/>
                <w:lang w:val="en-US"/>
              </w:rPr>
              <w:t>fo</w:t>
            </w:r>
            <w:r w:rsidR="0004446D" w:rsidRPr="0038479B">
              <w:rPr>
                <w:rFonts w:asciiTheme="majorHAnsi" w:hAnsiTheme="majorHAnsi" w:cstheme="majorHAnsi"/>
                <w:szCs w:val="18"/>
                <w:lang w:val="en-US"/>
              </w:rPr>
              <w:t>r calculation the</w:t>
            </w:r>
            <w:r w:rsidR="00582BFC" w:rsidRPr="0038479B">
              <w:rPr>
                <w:rFonts w:asciiTheme="majorHAnsi" w:hAnsiTheme="majorHAnsi" w:cstheme="majorHAnsi"/>
                <w:szCs w:val="18"/>
                <w:lang w:val="en-US"/>
              </w:rPr>
              <w:t xml:space="preserve"> </w:t>
            </w:r>
            <w:r w:rsidR="0004446D" w:rsidRPr="0038479B">
              <w:rPr>
                <w:rFonts w:asciiTheme="majorHAnsi" w:hAnsiTheme="majorHAnsi" w:cstheme="majorHAnsi"/>
                <w:szCs w:val="18"/>
                <w:lang w:val="en-US"/>
              </w:rPr>
              <w:t xml:space="preserve">future </w:t>
            </w:r>
            <w:r w:rsidR="00582BFC" w:rsidRPr="0038479B">
              <w:rPr>
                <w:rFonts w:asciiTheme="majorHAnsi" w:hAnsiTheme="majorHAnsi" w:cstheme="majorHAnsi"/>
                <w:szCs w:val="18"/>
                <w:lang w:val="en-US"/>
              </w:rPr>
              <w:t>cash flows</w:t>
            </w:r>
            <w:r w:rsidR="00FE5533" w:rsidRPr="0038479B">
              <w:rPr>
                <w:rFonts w:asciiTheme="majorHAnsi" w:hAnsiTheme="majorHAnsi" w:cstheme="majorHAnsi"/>
                <w:szCs w:val="18"/>
                <w:lang w:val="en-US"/>
              </w:rPr>
              <w:t>.</w:t>
            </w:r>
            <w:r w:rsidR="00582BFC" w:rsidRPr="0038479B">
              <w:rPr>
                <w:rFonts w:asciiTheme="majorHAnsi" w:hAnsiTheme="majorHAnsi" w:cstheme="majorHAnsi"/>
                <w:szCs w:val="18"/>
                <w:lang w:val="en-US"/>
              </w:rPr>
              <w:t xml:space="preserve"> </w:t>
            </w:r>
          </w:p>
        </w:tc>
      </w:tr>
    </w:tbl>
    <w:p w14:paraId="59DF69CD" w14:textId="558BC01F" w:rsidR="007E545E" w:rsidRDefault="007E545E" w:rsidP="00385690">
      <w:pPr>
        <w:autoSpaceDE w:val="0"/>
        <w:autoSpaceDN w:val="0"/>
        <w:spacing w:after="0" w:line="360" w:lineRule="auto"/>
        <w:jc w:val="thaiDistribute"/>
        <w:rPr>
          <w:rFonts w:asciiTheme="majorHAnsi" w:hAnsiTheme="majorHAnsi" w:cstheme="majorHAnsi"/>
          <w:sz w:val="19"/>
          <w:szCs w:val="19"/>
        </w:rPr>
      </w:pPr>
    </w:p>
    <w:p w14:paraId="6EC07FED" w14:textId="77777777" w:rsidR="00514B59" w:rsidRDefault="00514B59" w:rsidP="00EF1EAF">
      <w:pPr>
        <w:pStyle w:val="Default"/>
        <w:spacing w:line="360" w:lineRule="auto"/>
        <w:rPr>
          <w:rFonts w:asciiTheme="majorHAnsi" w:hAnsiTheme="majorHAnsi" w:cstheme="majorHAnsi"/>
          <w:i/>
          <w:iCs/>
          <w:color w:val="auto"/>
          <w:sz w:val="19"/>
          <w:szCs w:val="19"/>
        </w:rPr>
      </w:pPr>
    </w:p>
    <w:p w14:paraId="53F78FC8" w14:textId="77777777" w:rsidR="00514B59" w:rsidRDefault="00514B59" w:rsidP="00EF1EAF">
      <w:pPr>
        <w:pStyle w:val="Default"/>
        <w:spacing w:line="360" w:lineRule="auto"/>
        <w:rPr>
          <w:rFonts w:asciiTheme="majorHAnsi" w:hAnsiTheme="majorHAnsi" w:cstheme="majorHAnsi"/>
          <w:i/>
          <w:iCs/>
          <w:color w:val="auto"/>
          <w:sz w:val="19"/>
          <w:szCs w:val="19"/>
        </w:rPr>
      </w:pPr>
    </w:p>
    <w:p w14:paraId="3A618D10" w14:textId="77777777" w:rsidR="00514B59" w:rsidRDefault="00514B59" w:rsidP="00EF1EAF">
      <w:pPr>
        <w:pStyle w:val="Default"/>
        <w:spacing w:line="360" w:lineRule="auto"/>
        <w:rPr>
          <w:rFonts w:asciiTheme="majorHAnsi" w:hAnsiTheme="majorHAnsi" w:cstheme="majorHAnsi"/>
          <w:i/>
          <w:iCs/>
          <w:color w:val="auto"/>
          <w:sz w:val="19"/>
          <w:szCs w:val="19"/>
        </w:rPr>
      </w:pPr>
    </w:p>
    <w:p w14:paraId="43585DB8" w14:textId="77777777" w:rsidR="00514B59" w:rsidRDefault="00514B59" w:rsidP="00EF1EAF">
      <w:pPr>
        <w:pStyle w:val="Default"/>
        <w:spacing w:line="360" w:lineRule="auto"/>
        <w:rPr>
          <w:rFonts w:asciiTheme="majorHAnsi" w:hAnsiTheme="majorHAnsi" w:cstheme="majorHAnsi"/>
          <w:i/>
          <w:iCs/>
          <w:color w:val="auto"/>
          <w:sz w:val="19"/>
          <w:szCs w:val="19"/>
        </w:rPr>
      </w:pPr>
    </w:p>
    <w:p w14:paraId="1F78E2C8" w14:textId="4B6D8371" w:rsidR="00EF1EAF" w:rsidRPr="004879D4" w:rsidRDefault="00EF1EAF" w:rsidP="00EF1EAF">
      <w:pPr>
        <w:pStyle w:val="Default"/>
        <w:spacing w:line="360" w:lineRule="auto"/>
        <w:rPr>
          <w:rFonts w:asciiTheme="majorHAnsi" w:hAnsiTheme="majorHAnsi" w:cstheme="minorBidi"/>
          <w:i/>
          <w:iCs/>
          <w:color w:val="auto"/>
          <w:sz w:val="19"/>
          <w:szCs w:val="19"/>
          <w:cs/>
          <w:lang w:bidi="th-TH"/>
        </w:rPr>
      </w:pPr>
      <w:r w:rsidRPr="0032246D">
        <w:rPr>
          <w:rFonts w:asciiTheme="majorHAnsi" w:hAnsiTheme="majorHAnsi" w:cstheme="majorHAnsi"/>
          <w:i/>
          <w:iCs/>
          <w:color w:val="auto"/>
          <w:sz w:val="19"/>
          <w:szCs w:val="19"/>
        </w:rPr>
        <w:lastRenderedPageBreak/>
        <w:t>Other Information</w:t>
      </w:r>
    </w:p>
    <w:p w14:paraId="7BA0E573" w14:textId="77777777" w:rsidR="00EF1EAF" w:rsidRPr="004879D4"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0E4D7DB1" w14:textId="77777777" w:rsidR="006969C9" w:rsidRDefault="00EF1EAF" w:rsidP="006969C9">
      <w:pPr>
        <w:pStyle w:val="Default"/>
        <w:spacing w:line="360" w:lineRule="auto"/>
        <w:jc w:val="both"/>
        <w:rPr>
          <w:rFonts w:asciiTheme="majorHAnsi" w:hAnsiTheme="majorHAnsi" w:cstheme="majorHAnsi"/>
          <w:sz w:val="19"/>
          <w:szCs w:val="19"/>
        </w:rPr>
      </w:pPr>
      <w:r w:rsidRPr="0032246D">
        <w:rPr>
          <w:rFonts w:asciiTheme="majorHAnsi" w:hAnsiTheme="majorHAnsi" w:cstheme="majorHAnsi"/>
          <w:sz w:val="19"/>
          <w:szCs w:val="19"/>
        </w:rPr>
        <w:t>Management is responsible for the other information. The other information comprises the information included in the annual report</w:t>
      </w:r>
      <w:r w:rsidR="00B510BC">
        <w:rPr>
          <w:rFonts w:asciiTheme="majorHAnsi" w:hAnsiTheme="majorHAnsi" w:cstheme="majorHAnsi"/>
          <w:sz w:val="19"/>
          <w:szCs w:val="19"/>
        </w:rPr>
        <w:t xml:space="preserve"> </w:t>
      </w:r>
      <w:r w:rsidR="00C9065A">
        <w:rPr>
          <w:rFonts w:asciiTheme="majorHAnsi" w:hAnsiTheme="majorHAnsi" w:cstheme="majorHAnsi"/>
          <w:sz w:val="19"/>
          <w:szCs w:val="19"/>
        </w:rPr>
        <w:t>b</w:t>
      </w:r>
      <w:r w:rsidR="00922E5A">
        <w:rPr>
          <w:rFonts w:asciiTheme="majorHAnsi" w:hAnsiTheme="majorHAnsi" w:cstheme="majorHAnsi"/>
          <w:sz w:val="19"/>
          <w:szCs w:val="19"/>
        </w:rPr>
        <w:t xml:space="preserve">ut does not include the </w:t>
      </w:r>
      <w:r w:rsidR="00504C38">
        <w:rPr>
          <w:rFonts w:asciiTheme="majorHAnsi" w:hAnsiTheme="majorHAnsi" w:cstheme="majorHAnsi"/>
          <w:sz w:val="19"/>
          <w:szCs w:val="19"/>
        </w:rPr>
        <w:t>c</w:t>
      </w:r>
      <w:r w:rsidR="00922E5A">
        <w:rPr>
          <w:rFonts w:asciiTheme="majorHAnsi" w:hAnsiTheme="majorHAnsi" w:cstheme="majorHAnsi"/>
          <w:sz w:val="19"/>
          <w:szCs w:val="19"/>
        </w:rPr>
        <w:t xml:space="preserve">onsolidated and </w:t>
      </w:r>
      <w:r w:rsidR="00504C38">
        <w:rPr>
          <w:rFonts w:asciiTheme="majorHAnsi" w:hAnsiTheme="majorHAnsi" w:cstheme="majorHAnsi"/>
          <w:sz w:val="19"/>
          <w:szCs w:val="19"/>
        </w:rPr>
        <w:t>s</w:t>
      </w:r>
      <w:r w:rsidR="00922E5A">
        <w:rPr>
          <w:rFonts w:asciiTheme="majorHAnsi" w:hAnsiTheme="majorHAnsi" w:cstheme="majorHAnsi"/>
          <w:sz w:val="19"/>
          <w:szCs w:val="19"/>
        </w:rPr>
        <w:t>eparate</w:t>
      </w:r>
      <w:r w:rsidRPr="0032246D">
        <w:rPr>
          <w:rFonts w:asciiTheme="majorHAnsi" w:hAnsiTheme="majorHAnsi" w:cstheme="majorHAnsi"/>
          <w:color w:val="auto"/>
          <w:sz w:val="19"/>
          <w:szCs w:val="19"/>
        </w:rPr>
        <w:t xml:space="preserve"> financial statements </w:t>
      </w:r>
      <w:r w:rsidRPr="0032246D">
        <w:rPr>
          <w:rFonts w:asciiTheme="majorHAnsi" w:hAnsiTheme="majorHAnsi" w:cstheme="majorHAnsi"/>
          <w:sz w:val="19"/>
          <w:szCs w:val="19"/>
        </w:rPr>
        <w:t xml:space="preserve">and my auditor’s report thereon. The annual report is expected to be made available </w:t>
      </w:r>
      <w:r w:rsidR="00D04A20">
        <w:rPr>
          <w:rFonts w:asciiTheme="majorHAnsi" w:hAnsiTheme="majorHAnsi" w:cstheme="majorHAnsi"/>
          <w:sz w:val="19"/>
          <w:szCs w:val="19"/>
        </w:rPr>
        <w:t>to m</w:t>
      </w:r>
      <w:r w:rsidR="00E3462A">
        <w:rPr>
          <w:rFonts w:asciiTheme="majorHAnsi" w:hAnsiTheme="majorHAnsi" w:cstheme="majorHAnsi"/>
          <w:sz w:val="19"/>
          <w:szCs w:val="19"/>
        </w:rPr>
        <w:t>e</w:t>
      </w:r>
      <w:r w:rsidR="00B510BC">
        <w:rPr>
          <w:rFonts w:asciiTheme="majorHAnsi" w:hAnsiTheme="majorHAnsi" w:cstheme="majorHAnsi"/>
          <w:sz w:val="19"/>
          <w:szCs w:val="19"/>
        </w:rPr>
        <w:t xml:space="preserve"> </w:t>
      </w:r>
      <w:r w:rsidR="00D04A20">
        <w:rPr>
          <w:rFonts w:asciiTheme="majorHAnsi" w:hAnsiTheme="majorHAnsi" w:cstheme="majorHAnsi"/>
          <w:sz w:val="19"/>
          <w:szCs w:val="19"/>
        </w:rPr>
        <w:t xml:space="preserve">after </w:t>
      </w:r>
      <w:r w:rsidRPr="0032246D">
        <w:rPr>
          <w:rFonts w:asciiTheme="majorHAnsi" w:hAnsiTheme="majorHAnsi" w:cstheme="majorHAnsi"/>
          <w:sz w:val="19"/>
          <w:szCs w:val="19"/>
        </w:rPr>
        <w:t xml:space="preserve">the date of this auditor's report. </w:t>
      </w:r>
    </w:p>
    <w:p w14:paraId="0005E6B1" w14:textId="77777777" w:rsidR="006969C9" w:rsidRPr="004879D4" w:rsidRDefault="006969C9" w:rsidP="006969C9">
      <w:pPr>
        <w:pStyle w:val="Default"/>
        <w:spacing w:line="360" w:lineRule="auto"/>
        <w:jc w:val="both"/>
        <w:rPr>
          <w:rFonts w:asciiTheme="majorHAnsi" w:hAnsiTheme="majorHAnsi" w:cstheme="majorHAnsi"/>
          <w:sz w:val="19"/>
          <w:szCs w:val="19"/>
        </w:rPr>
      </w:pPr>
    </w:p>
    <w:p w14:paraId="23BC9F06" w14:textId="4DDBB043" w:rsidR="00EF1EAF" w:rsidRPr="006969C9" w:rsidRDefault="00EF1EAF" w:rsidP="006969C9">
      <w:pPr>
        <w:pStyle w:val="Default"/>
        <w:spacing w:line="360" w:lineRule="auto"/>
        <w:jc w:val="both"/>
        <w:rPr>
          <w:rFonts w:asciiTheme="majorHAnsi" w:hAnsiTheme="majorHAnsi" w:cstheme="majorHAnsi"/>
          <w:sz w:val="19"/>
          <w:szCs w:val="19"/>
        </w:rPr>
      </w:pPr>
      <w:r w:rsidRPr="0032246D">
        <w:rPr>
          <w:rFonts w:asciiTheme="majorHAnsi" w:hAnsiTheme="majorHAnsi" w:cstheme="majorHAnsi"/>
          <w:sz w:val="19"/>
          <w:szCs w:val="19"/>
          <w:lang w:val="en-US"/>
        </w:rPr>
        <w:t>My opinion on the</w:t>
      </w:r>
      <w:r w:rsidR="00752F91">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752F91">
        <w:rPr>
          <w:rFonts w:asciiTheme="majorHAnsi" w:hAnsiTheme="majorHAnsi" w:cstheme="majorHAnsi"/>
          <w:sz w:val="19"/>
          <w:szCs w:val="19"/>
          <w:lang w:val="en-US"/>
        </w:rPr>
        <w:t>onsolidate</w:t>
      </w:r>
      <w:r w:rsidR="00AD4B38">
        <w:rPr>
          <w:rFonts w:asciiTheme="majorHAnsi" w:hAnsiTheme="majorHAnsi" w:cstheme="majorHAnsi"/>
          <w:sz w:val="19"/>
          <w:szCs w:val="19"/>
          <w:lang w:val="en-US"/>
        </w:rPr>
        <w:t xml:space="preserve"> and </w:t>
      </w:r>
      <w:r w:rsidR="00504C38">
        <w:rPr>
          <w:rFonts w:asciiTheme="majorHAnsi" w:hAnsiTheme="majorHAnsi" w:cstheme="majorHAnsi"/>
          <w:sz w:val="19"/>
          <w:szCs w:val="19"/>
          <w:lang w:val="en-US"/>
        </w:rPr>
        <w:t>s</w:t>
      </w:r>
      <w:r w:rsidR="00AD4B38">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does not cover the other information </w:t>
      </w:r>
      <w:r w:rsidRPr="006969C9">
        <w:rPr>
          <w:rFonts w:asciiTheme="majorHAnsi" w:hAnsiTheme="majorHAnsi" w:cstheme="majorHAnsi"/>
          <w:sz w:val="19"/>
          <w:szCs w:val="19"/>
        </w:rPr>
        <w:t xml:space="preserve">and I </w:t>
      </w:r>
      <w:r w:rsidR="00D04A20" w:rsidRPr="006969C9">
        <w:rPr>
          <w:rFonts w:asciiTheme="majorHAnsi" w:hAnsiTheme="majorHAnsi" w:cstheme="majorHAnsi"/>
          <w:sz w:val="19"/>
          <w:szCs w:val="19"/>
        </w:rPr>
        <w:t xml:space="preserve">will </w:t>
      </w:r>
      <w:r w:rsidRPr="006969C9">
        <w:rPr>
          <w:rFonts w:asciiTheme="majorHAnsi" w:hAnsiTheme="majorHAnsi" w:cstheme="majorHAnsi"/>
          <w:sz w:val="19"/>
          <w:szCs w:val="19"/>
        </w:rPr>
        <w:t xml:space="preserve">not express any form of assurance conclusion thereon. </w:t>
      </w:r>
    </w:p>
    <w:p w14:paraId="425045FD" w14:textId="77777777" w:rsidR="006969C9" w:rsidRPr="004879D4" w:rsidRDefault="006969C9" w:rsidP="006969C9">
      <w:pPr>
        <w:pStyle w:val="Default"/>
        <w:spacing w:line="360" w:lineRule="auto"/>
        <w:jc w:val="both"/>
        <w:rPr>
          <w:rFonts w:asciiTheme="majorHAnsi" w:hAnsiTheme="majorHAnsi" w:cstheme="majorHAnsi"/>
          <w:sz w:val="19"/>
          <w:szCs w:val="19"/>
        </w:rPr>
      </w:pPr>
    </w:p>
    <w:p w14:paraId="66C9995F" w14:textId="7D6FBA70" w:rsidR="00EF1EAF" w:rsidRPr="0032246D" w:rsidRDefault="00EF1EAF" w:rsidP="006969C9">
      <w:pPr>
        <w:pStyle w:val="Default"/>
        <w:spacing w:line="360" w:lineRule="auto"/>
        <w:jc w:val="both"/>
        <w:rPr>
          <w:rFonts w:asciiTheme="majorHAnsi" w:hAnsiTheme="majorHAnsi" w:cstheme="majorHAnsi"/>
          <w:sz w:val="19"/>
          <w:szCs w:val="19"/>
          <w:lang w:val="en-US"/>
        </w:rPr>
      </w:pPr>
      <w:r w:rsidRPr="006969C9">
        <w:rPr>
          <w:rFonts w:asciiTheme="majorHAnsi" w:hAnsiTheme="majorHAnsi" w:cstheme="majorHAnsi"/>
          <w:sz w:val="19"/>
          <w:szCs w:val="19"/>
        </w:rPr>
        <w:t xml:space="preserve">In connection with my audit of the </w:t>
      </w:r>
      <w:r w:rsidR="00504C38" w:rsidRPr="006969C9">
        <w:rPr>
          <w:rFonts w:asciiTheme="majorHAnsi" w:hAnsiTheme="majorHAnsi" w:cstheme="majorHAnsi"/>
          <w:sz w:val="19"/>
          <w:szCs w:val="19"/>
        </w:rPr>
        <w:t>c</w:t>
      </w:r>
      <w:r w:rsidR="00416FB3" w:rsidRPr="006969C9">
        <w:rPr>
          <w:rFonts w:asciiTheme="majorHAnsi" w:hAnsiTheme="majorHAnsi" w:cstheme="majorHAnsi"/>
          <w:sz w:val="19"/>
          <w:szCs w:val="19"/>
        </w:rPr>
        <w:t xml:space="preserve">onsolidated and </w:t>
      </w:r>
      <w:r w:rsidR="00504C38" w:rsidRPr="006969C9">
        <w:rPr>
          <w:rFonts w:asciiTheme="majorHAnsi" w:hAnsiTheme="majorHAnsi" w:cstheme="majorHAnsi"/>
          <w:sz w:val="19"/>
          <w:szCs w:val="19"/>
        </w:rPr>
        <w:t>s</w:t>
      </w:r>
      <w:r w:rsidR="00416FB3" w:rsidRPr="006969C9">
        <w:rPr>
          <w:rFonts w:asciiTheme="majorHAnsi" w:hAnsiTheme="majorHAnsi" w:cstheme="majorHAnsi"/>
          <w:sz w:val="19"/>
          <w:szCs w:val="19"/>
        </w:rPr>
        <w:t xml:space="preserve">eparate </w:t>
      </w:r>
      <w:r w:rsidRPr="006969C9">
        <w:rPr>
          <w:rFonts w:asciiTheme="majorHAnsi" w:hAnsiTheme="majorHAnsi" w:cstheme="majorHAnsi"/>
          <w:sz w:val="19"/>
          <w:szCs w:val="19"/>
        </w:rPr>
        <w:t>financial statements, my responsibility</w:t>
      </w:r>
      <w:r w:rsidRPr="0032246D">
        <w:rPr>
          <w:rFonts w:asciiTheme="majorHAnsi" w:hAnsiTheme="majorHAnsi" w:cstheme="majorHAnsi"/>
          <w:sz w:val="19"/>
          <w:szCs w:val="19"/>
          <w:lang w:val="en-US"/>
        </w:rPr>
        <w:t xml:space="preserve"> is to read the other information identified above when it becomes available and, in doing so, consider whether the other information is materially inconsistent with the</w:t>
      </w:r>
      <w:r w:rsidR="00515081">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515081">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515081">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or my knowledge obtained in the audit, or otherwise appears to be materially misstated. </w:t>
      </w:r>
    </w:p>
    <w:p w14:paraId="5F0DC221" w14:textId="77777777" w:rsidR="00EF1EAF" w:rsidRPr="004879D4"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3E5D83F7" w14:textId="77777777" w:rsidR="006969C9" w:rsidRDefault="00EF1EAF" w:rsidP="006969C9">
      <w:pPr>
        <w:pStyle w:val="Default"/>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When I read the annual report, if I conclude that there is a material misstatement therein, I am required to</w:t>
      </w:r>
      <w:r w:rsidR="003956A0">
        <w:rPr>
          <w:rFonts w:asciiTheme="majorHAnsi" w:hAnsiTheme="majorHAnsi" w:cstheme="majorHAnsi"/>
          <w:sz w:val="19"/>
          <w:szCs w:val="19"/>
          <w:lang w:val="en-US"/>
        </w:rPr>
        <w:t xml:space="preserve"> communicate the matter to</w:t>
      </w:r>
      <w:r w:rsidRPr="0032246D">
        <w:rPr>
          <w:rFonts w:asciiTheme="majorHAnsi" w:hAnsiTheme="majorHAnsi" w:cstheme="majorHAnsi"/>
          <w:sz w:val="19"/>
          <w:szCs w:val="19"/>
          <w:lang w:val="en-US"/>
        </w:rPr>
        <w:t xml:space="preserve"> those charged with governance</w:t>
      </w:r>
      <w:r w:rsidR="003956A0">
        <w:rPr>
          <w:rFonts w:asciiTheme="majorHAnsi" w:hAnsiTheme="majorHAnsi" w:cstheme="majorHAnsi"/>
          <w:sz w:val="19"/>
          <w:szCs w:val="19"/>
          <w:lang w:val="en-US"/>
        </w:rPr>
        <w:t xml:space="preserve"> and revised</w:t>
      </w:r>
      <w:r w:rsidRPr="0032246D">
        <w:rPr>
          <w:rFonts w:asciiTheme="majorHAnsi" w:hAnsiTheme="majorHAnsi" w:cstheme="majorHAnsi"/>
          <w:sz w:val="19"/>
          <w:szCs w:val="19"/>
          <w:lang w:val="en-US"/>
        </w:rPr>
        <w:t xml:space="preserve"> </w:t>
      </w:r>
      <w:r w:rsidR="003956A0">
        <w:rPr>
          <w:rFonts w:asciiTheme="majorHAnsi" w:hAnsiTheme="majorHAnsi" w:cstheme="majorHAnsi"/>
          <w:sz w:val="19"/>
          <w:szCs w:val="19"/>
          <w:lang w:val="en-US"/>
        </w:rPr>
        <w:t>a</w:t>
      </w:r>
      <w:r w:rsidRPr="0032246D">
        <w:rPr>
          <w:rFonts w:asciiTheme="majorHAnsi" w:hAnsiTheme="majorHAnsi" w:cstheme="majorHAnsi"/>
          <w:sz w:val="19"/>
          <w:szCs w:val="19"/>
          <w:lang w:val="en-US"/>
        </w:rPr>
        <w:t xml:space="preserve"> material misstatement. </w:t>
      </w:r>
    </w:p>
    <w:p w14:paraId="1A6C497F" w14:textId="77777777" w:rsidR="006969C9" w:rsidRPr="004879D4" w:rsidRDefault="006969C9" w:rsidP="006969C9">
      <w:pPr>
        <w:pStyle w:val="Default"/>
        <w:spacing w:line="360" w:lineRule="auto"/>
        <w:jc w:val="both"/>
        <w:rPr>
          <w:rFonts w:asciiTheme="majorHAnsi" w:hAnsiTheme="majorHAnsi" w:cstheme="majorHAnsi"/>
          <w:sz w:val="19"/>
          <w:szCs w:val="19"/>
          <w:lang w:val="en-US"/>
        </w:rPr>
      </w:pPr>
    </w:p>
    <w:p w14:paraId="3D1D2200" w14:textId="11ACEC13" w:rsidR="00EF1EAF" w:rsidRPr="0032246D" w:rsidRDefault="00EF1EAF" w:rsidP="006969C9">
      <w:pPr>
        <w:pStyle w:val="Default"/>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However, as described </w:t>
      </w:r>
      <w:r w:rsidR="00692C6E">
        <w:rPr>
          <w:rFonts w:asciiTheme="majorHAnsi" w:hAnsiTheme="majorHAnsi" w:cstheme="majorHAnsi"/>
          <w:sz w:val="19"/>
          <w:szCs w:val="19"/>
          <w:lang w:val="en-US"/>
        </w:rPr>
        <w:t>under</w:t>
      </w:r>
      <w:r w:rsidRPr="0032246D">
        <w:rPr>
          <w:rFonts w:asciiTheme="majorHAnsi" w:hAnsiTheme="majorHAnsi" w:cstheme="majorHAnsi"/>
          <w:sz w:val="19"/>
          <w:szCs w:val="19"/>
          <w:lang w:val="en-US"/>
        </w:rPr>
        <w:t xml:space="preserve"> the Basis for Qualified Opinion section with respect to the</w:t>
      </w:r>
      <w:r w:rsidR="00664905" w:rsidRPr="004879D4">
        <w:rPr>
          <w:rFonts w:asciiTheme="majorHAnsi" w:hAnsiTheme="majorHAnsi" w:cstheme="minorBidi" w:hint="cs"/>
          <w:sz w:val="19"/>
          <w:szCs w:val="19"/>
          <w:cs/>
          <w:lang w:val="en-US" w:bidi="th-TH"/>
        </w:rPr>
        <w:t xml:space="preserve"> </w:t>
      </w:r>
      <w:r w:rsidR="00C1524F" w:rsidRPr="004879D4">
        <w:rPr>
          <w:rFonts w:asciiTheme="majorHAnsi" w:hAnsiTheme="majorHAnsi" w:cstheme="minorBidi"/>
          <w:sz w:val="19"/>
          <w:szCs w:val="19"/>
          <w:lang w:val="en-US" w:bidi="th-TH"/>
        </w:rPr>
        <w:t>potential impact from</w:t>
      </w:r>
      <w:r w:rsidRPr="0032246D">
        <w:rPr>
          <w:rFonts w:asciiTheme="majorHAnsi" w:hAnsiTheme="majorHAnsi" w:cstheme="majorHAnsi"/>
          <w:sz w:val="19"/>
          <w:szCs w:val="19"/>
          <w:lang w:val="en-US"/>
        </w:rPr>
        <w:t xml:space="preserve"> </w:t>
      </w:r>
      <w:r w:rsidR="004772B0">
        <w:rPr>
          <w:rFonts w:asciiTheme="majorHAnsi" w:hAnsiTheme="majorHAnsi" w:cstheme="majorHAnsi"/>
          <w:sz w:val="19"/>
          <w:szCs w:val="19"/>
          <w:lang w:val="en-US"/>
        </w:rPr>
        <w:t>the</w:t>
      </w:r>
      <w:r w:rsidR="004772B0" w:rsidRPr="006969C9">
        <w:rPr>
          <w:rFonts w:asciiTheme="majorHAnsi" w:hAnsiTheme="majorHAnsi" w:cstheme="majorHAnsi"/>
          <w:sz w:val="19"/>
          <w:szCs w:val="19"/>
          <w:lang w:val="en-US"/>
        </w:rPr>
        <w:t xml:space="preserve"> matter</w:t>
      </w:r>
      <w:r w:rsidR="007E1F40">
        <w:rPr>
          <w:rFonts w:asciiTheme="majorHAnsi" w:hAnsiTheme="majorHAnsi" w:cstheme="majorHAnsi"/>
          <w:sz w:val="19"/>
          <w:szCs w:val="19"/>
          <w:lang w:val="en-US"/>
        </w:rPr>
        <w:t>s</w:t>
      </w:r>
      <w:r w:rsidR="004772B0" w:rsidRPr="006969C9">
        <w:rPr>
          <w:rFonts w:asciiTheme="majorHAnsi" w:hAnsiTheme="majorHAnsi" w:cstheme="majorHAnsi"/>
          <w:sz w:val="19"/>
          <w:szCs w:val="19"/>
          <w:lang w:val="en-US"/>
        </w:rPr>
        <w:t xml:space="preserve"> which cannot be</w:t>
      </w:r>
      <w:r w:rsidR="004772B0" w:rsidRPr="004879D4">
        <w:rPr>
          <w:rFonts w:asciiTheme="majorHAnsi" w:hAnsiTheme="majorHAnsi" w:cs="Browallia New"/>
          <w:sz w:val="19"/>
          <w:szCs w:val="19"/>
          <w:lang w:val="en-US" w:bidi="th-TH"/>
        </w:rPr>
        <w:t xml:space="preserve"> concluded regarding to </w:t>
      </w:r>
      <w:r w:rsidR="000B650B" w:rsidRPr="004879D4">
        <w:rPr>
          <w:rFonts w:asciiTheme="majorHAnsi" w:hAnsiTheme="majorHAnsi" w:cs="Browallia New"/>
          <w:sz w:val="19"/>
          <w:szCs w:val="19"/>
          <w:lang w:val="en-US" w:bidi="th-TH"/>
        </w:rPr>
        <w:t>t</w:t>
      </w:r>
      <w:r w:rsidR="00440802" w:rsidRPr="004879D4">
        <w:rPr>
          <w:rFonts w:asciiTheme="majorHAnsi" w:hAnsiTheme="majorHAnsi" w:cs="Browallia New"/>
          <w:sz w:val="19"/>
          <w:szCs w:val="19"/>
          <w:lang w:val="en-US" w:bidi="th-TH"/>
        </w:rPr>
        <w:t xml:space="preserve">he </w:t>
      </w:r>
      <w:r w:rsidR="005662BE" w:rsidRPr="004879D4">
        <w:rPr>
          <w:rFonts w:asciiTheme="majorHAnsi" w:hAnsiTheme="majorHAnsi" w:cs="Browallia New"/>
          <w:sz w:val="19"/>
          <w:szCs w:val="19"/>
          <w:lang w:val="en-US" w:bidi="th-TH"/>
        </w:rPr>
        <w:t xml:space="preserve">realizable value of </w:t>
      </w:r>
      <w:r w:rsidR="00C10A91" w:rsidRPr="004879D4">
        <w:rPr>
          <w:rFonts w:asciiTheme="majorHAnsi" w:hAnsiTheme="majorHAnsi" w:cs="Browallia New"/>
          <w:sz w:val="19"/>
          <w:szCs w:val="19"/>
          <w:lang w:val="en-US" w:bidi="th-TH"/>
        </w:rPr>
        <w:t>the development</w:t>
      </w:r>
      <w:r w:rsidR="009648B4" w:rsidRPr="004879D4">
        <w:rPr>
          <w:rFonts w:asciiTheme="majorHAnsi" w:hAnsiTheme="majorHAnsi" w:cs="Browallia New"/>
          <w:sz w:val="19"/>
          <w:szCs w:val="19"/>
          <w:lang w:val="en-US" w:bidi="th-TH"/>
        </w:rPr>
        <w:t xml:space="preserve"> costs for concession right – </w:t>
      </w:r>
      <w:proofErr w:type="spellStart"/>
      <w:r w:rsidR="009648B4" w:rsidRPr="004879D4">
        <w:rPr>
          <w:rFonts w:asciiTheme="majorHAnsi" w:hAnsiTheme="majorHAnsi" w:cs="Browallia New"/>
          <w:sz w:val="19"/>
          <w:szCs w:val="19"/>
          <w:lang w:val="en-US" w:bidi="th-TH"/>
        </w:rPr>
        <w:t>Dawei</w:t>
      </w:r>
      <w:proofErr w:type="spellEnd"/>
      <w:r w:rsidR="009648B4" w:rsidRPr="004879D4">
        <w:rPr>
          <w:rFonts w:asciiTheme="majorHAnsi" w:hAnsiTheme="majorHAnsi" w:cs="Browallia New"/>
          <w:sz w:val="19"/>
          <w:szCs w:val="19"/>
          <w:lang w:val="en-US" w:bidi="th-TH"/>
        </w:rPr>
        <w:t xml:space="preserve"> Project, the investment value and relevant </w:t>
      </w:r>
      <w:r w:rsidR="008014F9" w:rsidRPr="004879D4">
        <w:rPr>
          <w:rFonts w:asciiTheme="majorHAnsi" w:hAnsiTheme="majorHAnsi" w:cs="Browallia New"/>
          <w:sz w:val="19"/>
          <w:szCs w:val="19"/>
          <w:lang w:val="en-US" w:bidi="th-TH"/>
        </w:rPr>
        <w:t>accounting transactions for the equity method of the joint venture and the realizable value of trade accounts receivable from a State Enterprise</w:t>
      </w:r>
      <w:r w:rsidR="00033D50" w:rsidRPr="004879D4">
        <w:rPr>
          <w:rFonts w:asciiTheme="majorHAnsi" w:hAnsiTheme="majorHAnsi" w:cs="Browallia New"/>
          <w:sz w:val="19"/>
          <w:szCs w:val="19"/>
          <w:lang w:val="en-US" w:bidi="th-TH"/>
        </w:rPr>
        <w:t xml:space="preserve">, </w:t>
      </w:r>
      <w:proofErr w:type="gramStart"/>
      <w:r w:rsidRPr="0032246D">
        <w:rPr>
          <w:rFonts w:asciiTheme="majorHAnsi" w:hAnsiTheme="majorHAnsi" w:cstheme="majorHAnsi"/>
          <w:sz w:val="19"/>
          <w:szCs w:val="19"/>
          <w:lang w:val="en-US"/>
        </w:rPr>
        <w:t>my opinion is qualified</w:t>
      </w:r>
      <w:proofErr w:type="gramEnd"/>
      <w:r w:rsidRPr="0032246D">
        <w:rPr>
          <w:rFonts w:asciiTheme="majorHAnsi" w:hAnsiTheme="majorHAnsi" w:cstheme="majorHAnsi"/>
          <w:sz w:val="19"/>
          <w:szCs w:val="19"/>
          <w:lang w:val="en-US"/>
        </w:rPr>
        <w:t xml:space="preserve">. Therefore, should the management prepare other information based on financial statements that is different from such fact, other information will be materially misstated with respect to the value and other information in annual report which will impact </w:t>
      </w:r>
      <w:r w:rsidR="00621FFF">
        <w:rPr>
          <w:rFonts w:asciiTheme="majorHAnsi" w:hAnsiTheme="majorHAnsi" w:cstheme="majorHAnsi"/>
          <w:sz w:val="19"/>
          <w:szCs w:val="19"/>
          <w:lang w:val="en-US"/>
        </w:rPr>
        <w:t xml:space="preserve">from </w:t>
      </w:r>
      <w:r w:rsidR="008B38F9">
        <w:rPr>
          <w:rFonts w:asciiTheme="majorHAnsi" w:hAnsiTheme="majorHAnsi" w:cstheme="majorHAnsi"/>
          <w:sz w:val="19"/>
          <w:szCs w:val="19"/>
          <w:lang w:val="en-US"/>
        </w:rPr>
        <w:t>such matters.</w:t>
      </w:r>
    </w:p>
    <w:p w14:paraId="21AE295A" w14:textId="77777777" w:rsidR="00EF1EAF" w:rsidRPr="004879D4" w:rsidRDefault="00EF1EAF" w:rsidP="00DE475E">
      <w:pPr>
        <w:autoSpaceDE w:val="0"/>
        <w:autoSpaceDN w:val="0"/>
        <w:spacing w:line="360" w:lineRule="auto"/>
        <w:ind w:left="259"/>
        <w:jc w:val="thaiDistribute"/>
        <w:rPr>
          <w:rFonts w:asciiTheme="majorHAnsi" w:hAnsiTheme="majorHAnsi" w:cstheme="majorHAnsi"/>
          <w:i/>
          <w:iCs/>
          <w:sz w:val="19"/>
          <w:szCs w:val="19"/>
          <w:lang w:val="en-US"/>
        </w:rPr>
      </w:pPr>
    </w:p>
    <w:p w14:paraId="317522E2" w14:textId="77777777" w:rsidR="00EF1EAF" w:rsidRPr="0032246D" w:rsidRDefault="00EF1EAF" w:rsidP="004879D4">
      <w:pPr>
        <w:autoSpaceDE w:val="0"/>
        <w:autoSpaceDN w:val="0"/>
        <w:adjustRightInd w:val="0"/>
        <w:spacing w:after="0" w:line="360" w:lineRule="auto"/>
        <w:jc w:val="thaiDistribute"/>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Responsibilities of Management and Those Charged with Governance for the preparation of Financial Statements</w:t>
      </w:r>
    </w:p>
    <w:p w14:paraId="75C812FD" w14:textId="77777777" w:rsidR="00EF1EAF" w:rsidRPr="004879D4"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5707E8FF" w14:textId="4B293DDC" w:rsidR="006F776A"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Management is responsible for the preparation and fair presentation of the </w:t>
      </w:r>
      <w:r w:rsidR="00D424A4">
        <w:rPr>
          <w:rFonts w:asciiTheme="majorHAnsi" w:hAnsiTheme="majorHAnsi" w:cstheme="majorHAnsi"/>
          <w:sz w:val="19"/>
          <w:szCs w:val="19"/>
          <w:lang w:val="en-US"/>
        </w:rPr>
        <w:t>c</w:t>
      </w:r>
      <w:r w:rsidR="00CF3865">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CF3865">
        <w:rPr>
          <w:rFonts w:asciiTheme="majorHAnsi" w:hAnsiTheme="majorHAnsi" w:cstheme="majorHAnsi"/>
          <w:sz w:val="19"/>
          <w:szCs w:val="19"/>
          <w:lang w:val="en-US"/>
        </w:rPr>
        <w:t xml:space="preserve">eparate </w:t>
      </w:r>
      <w:r w:rsidRPr="0032246D">
        <w:rPr>
          <w:rFonts w:asciiTheme="majorHAnsi" w:hAnsiTheme="majorHAnsi" w:cstheme="majorHAnsi"/>
          <w:sz w:val="19"/>
          <w:szCs w:val="19"/>
          <w:lang w:val="en-US"/>
        </w:rPr>
        <w:t>financial statements in accordance with Thai Financial Reporting Standards, and for such internal control as management determines necessary to enable the preparation of</w:t>
      </w:r>
      <w:r w:rsidR="0022139E">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22139E">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22139E">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that are free from material misstatement, whether due to fraud or error. </w:t>
      </w:r>
    </w:p>
    <w:p w14:paraId="74B00A64" w14:textId="77777777" w:rsidR="00B137F3" w:rsidRPr="004879D4" w:rsidRDefault="00B137F3" w:rsidP="004879D4">
      <w:pPr>
        <w:autoSpaceDE w:val="0"/>
        <w:autoSpaceDN w:val="0"/>
        <w:adjustRightInd w:val="0"/>
        <w:spacing w:after="0" w:line="360" w:lineRule="auto"/>
        <w:jc w:val="both"/>
        <w:rPr>
          <w:rFonts w:asciiTheme="majorHAnsi" w:hAnsiTheme="majorHAnsi" w:cstheme="majorHAnsi"/>
          <w:sz w:val="19"/>
          <w:szCs w:val="19"/>
          <w:lang w:val="en-US"/>
        </w:rPr>
      </w:pPr>
    </w:p>
    <w:p w14:paraId="34E94026" w14:textId="73E0BBAA"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In preparing the</w:t>
      </w:r>
      <w:r w:rsidR="00F6418C">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F6418C">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F6418C">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 </w:t>
      </w:r>
    </w:p>
    <w:p w14:paraId="76252C0F" w14:textId="77777777" w:rsidR="00514B59" w:rsidRDefault="00514B59" w:rsidP="004879D4">
      <w:pPr>
        <w:autoSpaceDE w:val="0"/>
        <w:autoSpaceDN w:val="0"/>
        <w:adjustRightInd w:val="0"/>
        <w:spacing w:after="0" w:line="360" w:lineRule="auto"/>
        <w:jc w:val="both"/>
        <w:rPr>
          <w:rFonts w:asciiTheme="majorHAnsi" w:hAnsiTheme="majorHAnsi" w:cstheme="majorHAnsi"/>
          <w:sz w:val="19"/>
          <w:szCs w:val="19"/>
          <w:lang w:val="en-US"/>
        </w:rPr>
      </w:pPr>
    </w:p>
    <w:p w14:paraId="3856EE37" w14:textId="77777777" w:rsidR="00514B59" w:rsidRDefault="00514B59" w:rsidP="004879D4">
      <w:pPr>
        <w:autoSpaceDE w:val="0"/>
        <w:autoSpaceDN w:val="0"/>
        <w:adjustRightInd w:val="0"/>
        <w:spacing w:after="0" w:line="360" w:lineRule="auto"/>
        <w:jc w:val="both"/>
        <w:rPr>
          <w:rFonts w:asciiTheme="majorHAnsi" w:hAnsiTheme="majorHAnsi" w:cstheme="majorHAnsi"/>
          <w:sz w:val="19"/>
          <w:szCs w:val="19"/>
          <w:lang w:val="en-US"/>
        </w:rPr>
      </w:pPr>
    </w:p>
    <w:p w14:paraId="10DEF62A" w14:textId="0B18252D" w:rsidR="00EF1EAF"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lastRenderedPageBreak/>
        <w:t xml:space="preserve">Those charged with governance are responsible for overseeing the Group’s financial reporting process. </w:t>
      </w:r>
    </w:p>
    <w:p w14:paraId="3BAA1C2B" w14:textId="77777777" w:rsidR="00277476" w:rsidRDefault="00277476" w:rsidP="00EF1EAF">
      <w:pPr>
        <w:autoSpaceDE w:val="0"/>
        <w:autoSpaceDN w:val="0"/>
        <w:adjustRightInd w:val="0"/>
        <w:spacing w:line="360" w:lineRule="auto"/>
        <w:jc w:val="thaiDistribute"/>
        <w:rPr>
          <w:rFonts w:asciiTheme="majorHAnsi" w:hAnsiTheme="majorHAnsi" w:cstheme="majorHAnsi"/>
          <w:i/>
          <w:iCs/>
          <w:sz w:val="19"/>
          <w:szCs w:val="19"/>
          <w:lang w:val="en-US"/>
        </w:rPr>
      </w:pPr>
    </w:p>
    <w:p w14:paraId="27A427A5" w14:textId="58FEA26D" w:rsidR="00EF1EAF" w:rsidRPr="0032246D" w:rsidRDefault="00EF1EAF" w:rsidP="004879D4">
      <w:pPr>
        <w:autoSpaceDE w:val="0"/>
        <w:autoSpaceDN w:val="0"/>
        <w:adjustRightInd w:val="0"/>
        <w:spacing w:after="0" w:line="360" w:lineRule="auto"/>
        <w:jc w:val="thaiDistribute"/>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 xml:space="preserve">Auditor’s Responsibilities for the Audit of the Financial Statements </w:t>
      </w:r>
    </w:p>
    <w:p w14:paraId="5F919A83"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6FE18EEB" w14:textId="4EE1C9C4" w:rsidR="00EF1EAF" w:rsidRPr="0032246D"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My objectives are to obtain reasonable assurance about whether the</w:t>
      </w:r>
      <w:r w:rsidR="00D424A4">
        <w:rPr>
          <w:rFonts w:asciiTheme="majorHAnsi" w:hAnsiTheme="majorHAnsi" w:cstheme="majorHAnsi"/>
          <w:sz w:val="19"/>
          <w:szCs w:val="19"/>
          <w:lang w:val="en-US"/>
        </w:rPr>
        <w:t xml:space="preserve"> c</w:t>
      </w:r>
      <w:r w:rsidR="00CD1617">
        <w:rPr>
          <w:rFonts w:asciiTheme="majorHAnsi" w:hAnsiTheme="majorHAnsi" w:cstheme="majorHAnsi"/>
          <w:sz w:val="19"/>
          <w:szCs w:val="19"/>
          <w:lang w:val="en-US"/>
        </w:rPr>
        <w:t xml:space="preserve">onsolidated and </w:t>
      </w:r>
      <w:r w:rsidR="00DE44EB">
        <w:rPr>
          <w:rFonts w:asciiTheme="majorHAnsi" w:hAnsiTheme="majorHAnsi" w:cstheme="majorHAnsi"/>
          <w:sz w:val="19"/>
          <w:szCs w:val="19"/>
          <w:lang w:val="en-US"/>
        </w:rPr>
        <w:t>s</w:t>
      </w:r>
      <w:r w:rsidR="00CD1617">
        <w:rPr>
          <w:rFonts w:asciiTheme="majorHAnsi" w:hAnsiTheme="majorHAnsi" w:cstheme="majorHAnsi"/>
          <w:sz w:val="19"/>
          <w:szCs w:val="19"/>
          <w:lang w:val="en-US"/>
        </w:rPr>
        <w:t xml:space="preserve">eparate </w:t>
      </w:r>
      <w:r w:rsidRPr="0032246D">
        <w:rPr>
          <w:rFonts w:asciiTheme="majorHAnsi" w:hAnsiTheme="majorHAnsi" w:cstheme="majorHAnsi"/>
          <w:sz w:val="19"/>
          <w:szCs w:val="19"/>
          <w:lang w:val="en-US"/>
        </w:rPr>
        <w:t xml:space="preserve">financial statements </w:t>
      </w:r>
      <w:proofErr w:type="gramStart"/>
      <w:r w:rsidRPr="0032246D">
        <w:rPr>
          <w:rFonts w:asciiTheme="majorHAnsi" w:hAnsiTheme="majorHAnsi" w:cstheme="majorHAnsi"/>
          <w:sz w:val="19"/>
          <w:szCs w:val="19"/>
          <w:lang w:val="en-US"/>
        </w:rPr>
        <w:t>as a whole are</w:t>
      </w:r>
      <w:proofErr w:type="gramEnd"/>
      <w:r w:rsidRPr="0032246D">
        <w:rPr>
          <w:rFonts w:asciiTheme="majorHAnsi" w:hAnsiTheme="majorHAnsi" w:cstheme="majorHAnsi"/>
          <w:sz w:val="19"/>
          <w:szCs w:val="19"/>
          <w:lang w:val="en-US"/>
        </w:rPr>
        <w:t xml:space="preserve"> free from material misstatement, whether due to fraud or error, and to issue an auditor’s report that includes my opinion. Reasonable assurance is a high level of </w:t>
      </w:r>
      <w:proofErr w:type="gramStart"/>
      <w:r w:rsidRPr="0032246D">
        <w:rPr>
          <w:rFonts w:asciiTheme="majorHAnsi" w:hAnsiTheme="majorHAnsi" w:cstheme="majorHAnsi"/>
          <w:sz w:val="19"/>
          <w:szCs w:val="19"/>
          <w:lang w:val="en-US"/>
        </w:rPr>
        <w:t>assurance,</w:t>
      </w:r>
      <w:r w:rsidR="00CC4051">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but</w:t>
      </w:r>
      <w:proofErr w:type="gramEnd"/>
      <w:r w:rsidRPr="0032246D">
        <w:rPr>
          <w:rFonts w:asciiTheme="majorHAnsi" w:hAnsiTheme="majorHAnsi" w:cstheme="majorHAnsi"/>
          <w:sz w:val="19"/>
          <w:szCs w:val="19"/>
          <w:lang w:val="en-US"/>
        </w:rPr>
        <w:t xml:space="preserve"> is not a guarantee that an audit conducted in accordance with Thai Standards on Auditing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32246D">
        <w:rPr>
          <w:rFonts w:asciiTheme="majorHAnsi" w:hAnsiTheme="majorHAnsi" w:cstheme="majorHAnsi"/>
          <w:sz w:val="19"/>
          <w:szCs w:val="19"/>
          <w:lang w:val="en-US"/>
        </w:rPr>
        <w:t>on the basis of</w:t>
      </w:r>
      <w:proofErr w:type="gramEnd"/>
      <w:r w:rsidRPr="0032246D">
        <w:rPr>
          <w:rFonts w:asciiTheme="majorHAnsi" w:hAnsiTheme="majorHAnsi" w:cstheme="majorHAnsi"/>
          <w:sz w:val="19"/>
          <w:szCs w:val="19"/>
          <w:lang w:val="en-US"/>
        </w:rPr>
        <w:t xml:space="preserve"> these</w:t>
      </w:r>
      <w:r w:rsidR="00F1458A">
        <w:rPr>
          <w:rFonts w:asciiTheme="majorHAnsi" w:hAnsiTheme="majorHAnsi" w:cstheme="majorHAnsi"/>
          <w:sz w:val="19"/>
          <w:szCs w:val="19"/>
          <w:lang w:val="en-US"/>
        </w:rPr>
        <w:t xml:space="preserve"> </w:t>
      </w:r>
      <w:r w:rsidR="00DE44EB">
        <w:rPr>
          <w:rFonts w:asciiTheme="majorHAnsi" w:hAnsiTheme="majorHAnsi" w:cstheme="majorHAnsi"/>
          <w:sz w:val="19"/>
          <w:szCs w:val="19"/>
          <w:lang w:val="en-US"/>
        </w:rPr>
        <w:t>c</w:t>
      </w:r>
      <w:r w:rsidR="00F1458A">
        <w:rPr>
          <w:rFonts w:asciiTheme="majorHAnsi" w:hAnsiTheme="majorHAnsi" w:cstheme="majorHAnsi"/>
          <w:sz w:val="19"/>
          <w:szCs w:val="19"/>
          <w:lang w:val="en-US"/>
        </w:rPr>
        <w:t xml:space="preserve">onsolidated and </w:t>
      </w:r>
      <w:r w:rsidR="00051E47">
        <w:rPr>
          <w:rFonts w:asciiTheme="majorHAnsi" w:hAnsiTheme="majorHAnsi" w:cstheme="majorHAnsi"/>
          <w:sz w:val="19"/>
          <w:szCs w:val="19"/>
          <w:lang w:val="en-US"/>
        </w:rPr>
        <w:t>s</w:t>
      </w:r>
      <w:r w:rsidR="00F1458A">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w:t>
      </w:r>
    </w:p>
    <w:p w14:paraId="3B34CCD3"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6C448737" w14:textId="1C323CF3" w:rsidR="00CC4051" w:rsidRPr="00837CB9" w:rsidRDefault="00EF1EAF" w:rsidP="00CC4051">
      <w:pPr>
        <w:autoSpaceDE w:val="0"/>
        <w:autoSpaceDN w:val="0"/>
        <w:adjustRightInd w:val="0"/>
        <w:spacing w:line="360" w:lineRule="auto"/>
        <w:jc w:val="both"/>
        <w:rPr>
          <w:rFonts w:asciiTheme="majorHAnsi" w:hAnsiTheme="majorHAnsi" w:cstheme="majorHAnsi"/>
          <w:sz w:val="19"/>
          <w:szCs w:val="19"/>
          <w:rtl/>
          <w:lang w:val="en-US"/>
        </w:rPr>
      </w:pPr>
      <w:r w:rsidRPr="0032246D">
        <w:rPr>
          <w:rFonts w:asciiTheme="majorHAnsi" w:hAnsiTheme="majorHAnsi" w:cstheme="majorHAnsi"/>
          <w:sz w:val="19"/>
          <w:szCs w:val="19"/>
          <w:lang w:val="en-US"/>
        </w:rPr>
        <w:t xml:space="preserve">As part of an audit in accordance with Thai Standards on Auditing, I exercise professional judgment and maintain professional skepticism </w:t>
      </w:r>
      <w:r w:rsidR="00596173">
        <w:rPr>
          <w:rFonts w:asciiTheme="majorHAnsi" w:hAnsiTheme="majorHAnsi" w:cstheme="majorHAnsi"/>
          <w:sz w:val="19"/>
          <w:szCs w:val="19"/>
          <w:lang w:val="en-US"/>
        </w:rPr>
        <w:t>throughout the audit</w:t>
      </w:r>
      <w:r w:rsidR="00940574">
        <w:rPr>
          <w:rFonts w:asciiTheme="majorHAnsi" w:hAnsiTheme="majorHAnsi" w:cstheme="majorHAnsi"/>
          <w:sz w:val="19"/>
          <w:szCs w:val="19"/>
          <w:lang w:val="en-US"/>
        </w:rPr>
        <w:t>. I also:</w:t>
      </w:r>
    </w:p>
    <w:p w14:paraId="3EFF3942" w14:textId="1C043960" w:rsidR="00EF1EAF" w:rsidRPr="0032246D" w:rsidRDefault="00EF1EAF" w:rsidP="009869FE">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Identify and assess the risks of material misstatement of the</w:t>
      </w:r>
      <w:r w:rsidR="001654F4">
        <w:rPr>
          <w:rFonts w:asciiTheme="majorHAnsi" w:hAnsiTheme="majorHAnsi" w:cstheme="majorHAnsi"/>
          <w:sz w:val="19"/>
          <w:szCs w:val="19"/>
          <w:lang w:val="en-US"/>
        </w:rPr>
        <w:t xml:space="preserve"> </w:t>
      </w:r>
      <w:r w:rsidR="00671BEA">
        <w:rPr>
          <w:rFonts w:asciiTheme="majorHAnsi" w:hAnsiTheme="majorHAnsi" w:cstheme="majorHAnsi"/>
          <w:sz w:val="19"/>
          <w:szCs w:val="19"/>
          <w:lang w:val="en-US"/>
        </w:rPr>
        <w:t>c</w:t>
      </w:r>
      <w:r w:rsidR="001654F4">
        <w:rPr>
          <w:rFonts w:asciiTheme="majorHAnsi" w:hAnsiTheme="majorHAnsi" w:cstheme="majorHAnsi"/>
          <w:sz w:val="19"/>
          <w:szCs w:val="19"/>
          <w:lang w:val="en-US"/>
        </w:rPr>
        <w:t>on</w:t>
      </w:r>
      <w:r w:rsidR="00671BEA">
        <w:rPr>
          <w:rFonts w:asciiTheme="majorHAnsi" w:hAnsiTheme="majorHAnsi" w:cstheme="majorHAnsi"/>
          <w:sz w:val="19"/>
          <w:szCs w:val="19"/>
          <w:lang w:val="en-US"/>
        </w:rPr>
        <w:t>solidated and separate</w:t>
      </w:r>
      <w:r w:rsidRPr="0032246D">
        <w:rPr>
          <w:rFonts w:asciiTheme="majorHAnsi" w:hAnsiTheme="majorHAnsi" w:cstheme="majorHAnsi"/>
          <w:sz w:val="19"/>
          <w:szCs w:val="19"/>
          <w:lang w:val="en-US"/>
        </w:rPr>
        <w:t xml:space="preserv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60445F55" w14:textId="77777777" w:rsidR="00EF1EAF" w:rsidRPr="0032246D" w:rsidRDefault="00EF1EAF" w:rsidP="00A35D30">
      <w:pPr>
        <w:pStyle w:val="ListParagraph"/>
        <w:numPr>
          <w:ilvl w:val="0"/>
          <w:numId w:val="20"/>
        </w:numPr>
        <w:autoSpaceDE w:val="0"/>
        <w:autoSpaceDN w:val="0"/>
        <w:adjustRightInd w:val="0"/>
        <w:spacing w:after="0" w:line="360" w:lineRule="auto"/>
        <w:jc w:val="both"/>
        <w:rPr>
          <w:rFonts w:asciiTheme="majorHAnsi" w:eastAsia="Calibri" w:hAnsiTheme="majorHAnsi" w:cstheme="majorHAnsi"/>
          <w:sz w:val="19"/>
          <w:szCs w:val="19"/>
          <w:lang w:val="en-US"/>
        </w:rPr>
      </w:pPr>
      <w:r w:rsidRPr="0032246D">
        <w:rPr>
          <w:rFonts w:asciiTheme="majorHAnsi" w:hAnsiTheme="majorHAnsi" w:cstheme="majorHAnsi"/>
          <w:sz w:val="19"/>
          <w:szCs w:val="19"/>
          <w:lang w:val="en-US"/>
        </w:rPr>
        <w:t xml:space="preserve">Obtain an understanding of internal control relevant to the audit </w:t>
      </w:r>
      <w:proofErr w:type="gramStart"/>
      <w:r w:rsidRPr="0032246D">
        <w:rPr>
          <w:rFonts w:asciiTheme="majorHAnsi" w:hAnsiTheme="majorHAnsi" w:cstheme="majorHAnsi"/>
          <w:sz w:val="19"/>
          <w:szCs w:val="19"/>
          <w:lang w:val="en-US"/>
        </w:rPr>
        <w:t>in order to</w:t>
      </w:r>
      <w:proofErr w:type="gramEnd"/>
      <w:r w:rsidRPr="0032246D">
        <w:rPr>
          <w:rFonts w:asciiTheme="majorHAnsi" w:hAnsiTheme="majorHAnsi" w:cstheme="majorHAnsi"/>
          <w:sz w:val="19"/>
          <w:szCs w:val="19"/>
          <w:lang w:val="en-US"/>
        </w:rPr>
        <w:t xml:space="preserve"> design audit procedures that are appropriate in the circumstances, but not for the purpose of expressing an opinion on the effectiveness of the Group’s internal control.</w:t>
      </w:r>
    </w:p>
    <w:p w14:paraId="3A0A2F39" w14:textId="0862AFA2"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Evaluate the appropriateness of accounting policies used and the reasonableness of accounting estimates and related disclosures made by management. </w:t>
      </w:r>
    </w:p>
    <w:p w14:paraId="01024826" w14:textId="65CA42A5"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Conclude on the appropriateness of management’s use of the going concern basis of accounting and, based on the audit evidence obtained, whether a material uncertainty exists related to events or conditions that may cast significant doubt on the Group’s ability to continue as a going concern. If I conclude that a material uncertainty exists, I am required to draw attention in my auditor’s report to the related disclosures in the </w:t>
      </w:r>
      <w:r w:rsidR="00C86108">
        <w:rPr>
          <w:rFonts w:asciiTheme="majorHAnsi" w:hAnsiTheme="majorHAnsi" w:cstheme="majorHAnsi"/>
          <w:sz w:val="19"/>
          <w:szCs w:val="19"/>
          <w:lang w:val="en-US"/>
        </w:rPr>
        <w:t xml:space="preserve">consolidated and separate </w:t>
      </w:r>
      <w:r w:rsidRPr="0032246D">
        <w:rPr>
          <w:rFonts w:asciiTheme="majorHAnsi" w:hAnsiTheme="majorHAnsi" w:cstheme="majorHAnsi"/>
          <w:sz w:val="19"/>
          <w:szCs w:val="19"/>
          <w:lang w:val="en-US"/>
        </w:rPr>
        <w:t xml:space="preserve">financial statements or, if such disclosures are inadequate, to modify my opinion. My conclusions are based on the audit evidence obtained up to the date of my auditor’s report. However, future events or conditions may cause the Group to cease to continue as a going concern. </w:t>
      </w:r>
    </w:p>
    <w:p w14:paraId="1B6B9A39" w14:textId="5853ECCF" w:rsidR="008A37DA" w:rsidRDefault="008A37DA" w:rsidP="008A37DA">
      <w:pPr>
        <w:pStyle w:val="ListParagraph"/>
        <w:autoSpaceDE w:val="0"/>
        <w:autoSpaceDN w:val="0"/>
        <w:adjustRightInd w:val="0"/>
        <w:spacing w:after="0" w:line="360" w:lineRule="auto"/>
        <w:ind w:left="340"/>
        <w:jc w:val="both"/>
        <w:rPr>
          <w:rFonts w:asciiTheme="majorHAnsi" w:hAnsiTheme="majorHAnsi" w:cstheme="majorHAnsi"/>
          <w:sz w:val="19"/>
          <w:szCs w:val="19"/>
          <w:lang w:val="en-US"/>
        </w:rPr>
      </w:pPr>
    </w:p>
    <w:p w14:paraId="26B09DBD" w14:textId="79FD76AA" w:rsidR="004879D4" w:rsidRDefault="004879D4" w:rsidP="008A37DA">
      <w:pPr>
        <w:pStyle w:val="ListParagraph"/>
        <w:autoSpaceDE w:val="0"/>
        <w:autoSpaceDN w:val="0"/>
        <w:adjustRightInd w:val="0"/>
        <w:spacing w:after="0" w:line="360" w:lineRule="auto"/>
        <w:ind w:left="340"/>
        <w:jc w:val="both"/>
        <w:rPr>
          <w:rFonts w:asciiTheme="majorHAnsi" w:hAnsiTheme="majorHAnsi" w:cstheme="majorHAnsi"/>
          <w:sz w:val="19"/>
          <w:szCs w:val="19"/>
          <w:lang w:val="en-US"/>
        </w:rPr>
      </w:pPr>
    </w:p>
    <w:p w14:paraId="0BBE4AED" w14:textId="1E4D209E" w:rsidR="00514B59" w:rsidRDefault="00514B59" w:rsidP="008A37DA">
      <w:pPr>
        <w:pStyle w:val="ListParagraph"/>
        <w:autoSpaceDE w:val="0"/>
        <w:autoSpaceDN w:val="0"/>
        <w:adjustRightInd w:val="0"/>
        <w:spacing w:after="0" w:line="360" w:lineRule="auto"/>
        <w:ind w:left="340"/>
        <w:jc w:val="both"/>
        <w:rPr>
          <w:rFonts w:asciiTheme="majorHAnsi" w:hAnsiTheme="majorHAnsi" w:cstheme="majorHAnsi"/>
          <w:sz w:val="19"/>
          <w:szCs w:val="19"/>
          <w:lang w:val="en-US"/>
        </w:rPr>
      </w:pPr>
    </w:p>
    <w:p w14:paraId="0FE921EC" w14:textId="7DC70A03" w:rsidR="00514B59" w:rsidRDefault="00514B59" w:rsidP="008A37DA">
      <w:pPr>
        <w:pStyle w:val="ListParagraph"/>
        <w:autoSpaceDE w:val="0"/>
        <w:autoSpaceDN w:val="0"/>
        <w:adjustRightInd w:val="0"/>
        <w:spacing w:after="0" w:line="360" w:lineRule="auto"/>
        <w:ind w:left="340"/>
        <w:jc w:val="both"/>
        <w:rPr>
          <w:rFonts w:asciiTheme="majorHAnsi" w:hAnsiTheme="majorHAnsi" w:cstheme="majorHAnsi"/>
          <w:sz w:val="19"/>
          <w:szCs w:val="19"/>
          <w:lang w:val="en-US"/>
        </w:rPr>
      </w:pPr>
    </w:p>
    <w:p w14:paraId="57D80688" w14:textId="77777777" w:rsidR="00514B59" w:rsidRDefault="00514B59" w:rsidP="008A37DA">
      <w:pPr>
        <w:pStyle w:val="ListParagraph"/>
        <w:autoSpaceDE w:val="0"/>
        <w:autoSpaceDN w:val="0"/>
        <w:adjustRightInd w:val="0"/>
        <w:spacing w:after="0" w:line="360" w:lineRule="auto"/>
        <w:ind w:left="340"/>
        <w:jc w:val="both"/>
        <w:rPr>
          <w:rFonts w:asciiTheme="majorHAnsi" w:hAnsiTheme="majorHAnsi" w:cstheme="majorHAnsi"/>
          <w:sz w:val="19"/>
          <w:szCs w:val="19"/>
          <w:lang w:val="en-US"/>
        </w:rPr>
      </w:pPr>
    </w:p>
    <w:p w14:paraId="79518DC9" w14:textId="77777777" w:rsidR="004879D4" w:rsidRDefault="004879D4" w:rsidP="008A37DA">
      <w:pPr>
        <w:pStyle w:val="ListParagraph"/>
        <w:autoSpaceDE w:val="0"/>
        <w:autoSpaceDN w:val="0"/>
        <w:adjustRightInd w:val="0"/>
        <w:spacing w:after="0" w:line="360" w:lineRule="auto"/>
        <w:ind w:left="340"/>
        <w:jc w:val="both"/>
        <w:rPr>
          <w:rFonts w:asciiTheme="majorHAnsi" w:hAnsiTheme="majorHAnsi" w:cstheme="majorHAnsi"/>
          <w:sz w:val="19"/>
          <w:szCs w:val="19"/>
          <w:lang w:val="en-US"/>
        </w:rPr>
      </w:pPr>
    </w:p>
    <w:p w14:paraId="4F967CDF" w14:textId="0D2648AF"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lastRenderedPageBreak/>
        <w:t xml:space="preserve">Evaluate the overall presentation, </w:t>
      </w:r>
      <w:proofErr w:type="gramStart"/>
      <w:r w:rsidRPr="0032246D">
        <w:rPr>
          <w:rFonts w:asciiTheme="majorHAnsi" w:hAnsiTheme="majorHAnsi" w:cstheme="majorHAnsi"/>
          <w:sz w:val="19"/>
          <w:szCs w:val="19"/>
          <w:lang w:val="en-US"/>
        </w:rPr>
        <w:t>structure</w:t>
      </w:r>
      <w:proofErr w:type="gramEnd"/>
      <w:r w:rsidRPr="0032246D">
        <w:rPr>
          <w:rFonts w:asciiTheme="majorHAnsi" w:hAnsiTheme="majorHAnsi" w:cstheme="majorHAnsi"/>
          <w:sz w:val="19"/>
          <w:szCs w:val="19"/>
          <w:lang w:val="en-US"/>
        </w:rPr>
        <w:t xml:space="preserve"> and content of the consolidated and separate financial statements, including the disclosures, and whether the</w:t>
      </w:r>
      <w:r w:rsidR="00075F0D">
        <w:rPr>
          <w:rFonts w:asciiTheme="majorHAnsi" w:hAnsiTheme="majorHAnsi" w:cstheme="majorHAnsi"/>
          <w:sz w:val="19"/>
          <w:szCs w:val="19"/>
          <w:lang w:val="en-US"/>
        </w:rPr>
        <w:t xml:space="preserve"> consolidated and separate</w:t>
      </w:r>
      <w:r w:rsidRPr="0032246D">
        <w:rPr>
          <w:rFonts w:asciiTheme="majorHAnsi" w:hAnsiTheme="majorHAnsi" w:cstheme="majorHAnsi"/>
          <w:sz w:val="19"/>
          <w:szCs w:val="19"/>
          <w:lang w:val="en-US"/>
        </w:rPr>
        <w:t xml:space="preserve"> financial statements represent the underlying transactions and events in a manner that achieves fair presentation. </w:t>
      </w:r>
    </w:p>
    <w:p w14:paraId="5B415126" w14:textId="4613AE74" w:rsidR="00EF1EAF" w:rsidRPr="009A7F4D"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rPr>
      </w:pPr>
      <w:r w:rsidRPr="0032246D">
        <w:rPr>
          <w:rFonts w:asciiTheme="majorHAnsi" w:hAnsiTheme="majorHAnsi" w:cstheme="majorHAnsi"/>
          <w:sz w:val="19"/>
          <w:szCs w:val="19"/>
          <w:lang w:val="en-US"/>
        </w:rPr>
        <w:t xml:space="preserve">Obtain sufficient appropriate audit evidence regarding the financial information of the entities or business activities within the Group to express an opinion on the consolidated financial statements. I am responsible for the direction, </w:t>
      </w:r>
      <w:proofErr w:type="gramStart"/>
      <w:r w:rsidRPr="0032246D">
        <w:rPr>
          <w:rFonts w:asciiTheme="majorHAnsi" w:hAnsiTheme="majorHAnsi" w:cstheme="majorHAnsi"/>
          <w:sz w:val="19"/>
          <w:szCs w:val="19"/>
          <w:lang w:val="en-US"/>
        </w:rPr>
        <w:t>supervision</w:t>
      </w:r>
      <w:proofErr w:type="gramEnd"/>
      <w:r w:rsidRPr="0032246D">
        <w:rPr>
          <w:rFonts w:asciiTheme="majorHAnsi" w:hAnsiTheme="majorHAnsi" w:cstheme="majorHAnsi"/>
          <w:sz w:val="19"/>
          <w:szCs w:val="19"/>
          <w:lang w:val="en-US"/>
        </w:rPr>
        <w:t xml:space="preserve"> and performance of the group audit.</w:t>
      </w:r>
      <w:r w:rsidR="00F232E9">
        <w:rPr>
          <w:rFonts w:asciiTheme="majorHAnsi" w:hAnsiTheme="majorHAnsi" w:cstheme="majorHAnsi"/>
          <w:sz w:val="19"/>
          <w:szCs w:val="19"/>
          <w:lang w:val="en-US"/>
        </w:rPr>
        <w:t xml:space="preserve"> I remain solely responsible for my audit opinion.</w:t>
      </w:r>
    </w:p>
    <w:p w14:paraId="7C1877BF" w14:textId="77777777" w:rsidR="009A7F4D" w:rsidRPr="0032246D" w:rsidRDefault="009A7F4D" w:rsidP="009A7F4D">
      <w:pPr>
        <w:pStyle w:val="ListParagraph"/>
        <w:autoSpaceDE w:val="0"/>
        <w:autoSpaceDN w:val="0"/>
        <w:adjustRightInd w:val="0"/>
        <w:spacing w:after="0" w:line="360" w:lineRule="auto"/>
        <w:ind w:left="340"/>
        <w:jc w:val="both"/>
        <w:rPr>
          <w:rFonts w:asciiTheme="majorHAnsi" w:hAnsiTheme="majorHAnsi" w:cstheme="majorHAnsi"/>
          <w:sz w:val="19"/>
          <w:szCs w:val="19"/>
          <w:rtl/>
          <w:cs/>
        </w:rPr>
      </w:pPr>
    </w:p>
    <w:p w14:paraId="572E2591" w14:textId="188058FA" w:rsidR="00881170"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communicate with those charged with governance regarding, among other matters, the planned scope and timing of the audit and significant audit findings, including any significant deficiencies in internal control that I identify during my audit. </w:t>
      </w:r>
    </w:p>
    <w:p w14:paraId="0EE22226" w14:textId="77777777" w:rsidR="00881170" w:rsidRDefault="00881170" w:rsidP="00881170">
      <w:pPr>
        <w:autoSpaceDE w:val="0"/>
        <w:autoSpaceDN w:val="0"/>
        <w:spacing w:after="0" w:line="360" w:lineRule="auto"/>
        <w:ind w:left="258"/>
        <w:jc w:val="thaiDistribute"/>
        <w:rPr>
          <w:rFonts w:asciiTheme="majorHAnsi" w:hAnsiTheme="majorHAnsi" w:cstheme="majorHAnsi"/>
          <w:sz w:val="19"/>
          <w:szCs w:val="19"/>
          <w:lang w:val="en-US"/>
        </w:rPr>
      </w:pPr>
    </w:p>
    <w:p w14:paraId="739412EA" w14:textId="645CCCEA" w:rsidR="00EF1EAF" w:rsidRPr="0032246D"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also provide those charged with governance with a statement that I have complied with relevant ethical requirements regarding independence, and to communicate with them all relationships and other matters that may reasonably be thought to bear on my independence, and where applicable, related safeguards. </w:t>
      </w:r>
    </w:p>
    <w:p w14:paraId="301F377F" w14:textId="77777777" w:rsidR="0018316A" w:rsidRDefault="0018316A" w:rsidP="00EF1EAF">
      <w:pPr>
        <w:autoSpaceDE w:val="0"/>
        <w:autoSpaceDN w:val="0"/>
        <w:adjustRightInd w:val="0"/>
        <w:spacing w:line="360" w:lineRule="auto"/>
        <w:jc w:val="both"/>
        <w:rPr>
          <w:rFonts w:asciiTheme="majorHAnsi" w:hAnsiTheme="majorHAnsi" w:cstheme="majorHAnsi"/>
          <w:sz w:val="19"/>
          <w:szCs w:val="19"/>
          <w:lang w:val="en-US"/>
        </w:rPr>
      </w:pPr>
    </w:p>
    <w:p w14:paraId="47A43C63" w14:textId="6A1B3077"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From the matters communicated with those charged with governance, I determine those matters that were of most significance in the audit of the</w:t>
      </w:r>
      <w:r w:rsidR="007B76C0">
        <w:rPr>
          <w:rFonts w:asciiTheme="majorHAnsi" w:hAnsiTheme="majorHAnsi" w:cstheme="majorHAnsi"/>
          <w:sz w:val="19"/>
          <w:szCs w:val="19"/>
          <w:lang w:val="en-US"/>
        </w:rPr>
        <w:t xml:space="preserve"> consolidated and separate</w:t>
      </w:r>
      <w:r w:rsidRPr="0032246D">
        <w:rPr>
          <w:rFonts w:asciiTheme="majorHAnsi" w:hAnsiTheme="majorHAnsi" w:cstheme="majorHAnsi"/>
          <w:sz w:val="19"/>
          <w:szCs w:val="19"/>
          <w:lang w:val="en-US"/>
        </w:rPr>
        <w:t xml:space="preserve"> financial statements of the current period and are therefore the key audit matters. I describe these matters in my auditor’s report unless law or regulation precludes public disclosure about the matter or when, in extremely rare circumstances,</w:t>
      </w:r>
      <w:r w:rsidR="00A40222">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I determine that a matter should not be communicated in my report because the adverse consequences of doing so would reasonably be expected to outweigh the public interest benefits of such communication.</w:t>
      </w:r>
    </w:p>
    <w:p w14:paraId="02AD7836" w14:textId="77777777" w:rsidR="00EF1EAF"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53E965B7" w14:textId="77777777" w:rsidR="001C6D5C" w:rsidRPr="0032246D" w:rsidRDefault="001C6D5C" w:rsidP="004879D4">
      <w:pPr>
        <w:autoSpaceDE w:val="0"/>
        <w:autoSpaceDN w:val="0"/>
        <w:spacing w:line="360" w:lineRule="auto"/>
        <w:ind w:left="259"/>
        <w:jc w:val="thaiDistribute"/>
        <w:rPr>
          <w:rFonts w:asciiTheme="majorHAnsi" w:hAnsiTheme="majorHAnsi" w:cstheme="majorHAnsi"/>
          <w:sz w:val="19"/>
          <w:szCs w:val="19"/>
          <w:lang w:val="en-US"/>
        </w:rPr>
      </w:pPr>
    </w:p>
    <w:p w14:paraId="3BEFFCDE"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00C4A3E6" w14:textId="77777777" w:rsidR="00EF1EAF" w:rsidRPr="0032246D" w:rsidRDefault="00EF1EAF" w:rsidP="00DF6A7A">
      <w:pPr>
        <w:spacing w:after="0" w:line="360" w:lineRule="auto"/>
        <w:jc w:val="thaiDistribute"/>
        <w:rPr>
          <w:rFonts w:asciiTheme="majorHAnsi" w:hAnsiTheme="majorHAnsi" w:cstheme="majorHAnsi"/>
          <w:b/>
          <w:bCs/>
          <w:sz w:val="19"/>
          <w:szCs w:val="19"/>
        </w:rPr>
      </w:pPr>
      <w:r w:rsidRPr="0032246D">
        <w:rPr>
          <w:rFonts w:asciiTheme="majorHAnsi" w:hAnsiTheme="majorHAnsi" w:cstheme="majorHAnsi"/>
          <w:b/>
          <w:bCs/>
          <w:sz w:val="19"/>
          <w:szCs w:val="19"/>
          <w:lang w:val="en-US"/>
        </w:rPr>
        <w:t xml:space="preserve">Mr. Somckid Tiatragul </w:t>
      </w:r>
    </w:p>
    <w:p w14:paraId="12D05A77" w14:textId="77777777" w:rsidR="00EF1EAF" w:rsidRPr="0032246D" w:rsidRDefault="00EF1EAF" w:rsidP="00DF6A7A">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Certified Public Accountant</w:t>
      </w:r>
    </w:p>
    <w:p w14:paraId="5E2B4BA4" w14:textId="77777777"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Registration No. 2785</w:t>
      </w:r>
    </w:p>
    <w:p w14:paraId="3E01B1B3" w14:textId="77777777" w:rsidR="00EF1EAF" w:rsidRPr="0032246D" w:rsidRDefault="00EF1EAF" w:rsidP="00EF1EAF">
      <w:pPr>
        <w:pStyle w:val="RNormal"/>
        <w:spacing w:line="360" w:lineRule="auto"/>
        <w:rPr>
          <w:rFonts w:asciiTheme="majorHAnsi" w:hAnsiTheme="majorHAnsi" w:cstheme="majorHAnsi"/>
          <w:color w:val="0000FF"/>
          <w:sz w:val="19"/>
          <w:szCs w:val="19"/>
        </w:rPr>
      </w:pPr>
    </w:p>
    <w:p w14:paraId="620AFD63" w14:textId="77777777"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Grant Thornton Limited</w:t>
      </w:r>
    </w:p>
    <w:p w14:paraId="5AA7A53E" w14:textId="77777777" w:rsidR="00EF1EAF" w:rsidRPr="004B6386" w:rsidRDefault="00EF1EAF" w:rsidP="00EF1EAF">
      <w:pPr>
        <w:pStyle w:val="RNormal"/>
        <w:spacing w:line="360" w:lineRule="auto"/>
        <w:rPr>
          <w:rFonts w:asciiTheme="majorHAnsi" w:hAnsiTheme="majorHAnsi" w:cstheme="majorHAnsi"/>
          <w:sz w:val="19"/>
          <w:szCs w:val="19"/>
        </w:rPr>
      </w:pPr>
      <w:r w:rsidRPr="004B6386">
        <w:rPr>
          <w:rFonts w:asciiTheme="majorHAnsi" w:hAnsiTheme="majorHAnsi" w:cstheme="majorHAnsi"/>
          <w:sz w:val="19"/>
          <w:szCs w:val="19"/>
        </w:rPr>
        <w:t>Bangkok</w:t>
      </w:r>
    </w:p>
    <w:p w14:paraId="48964677" w14:textId="64AEA4E1" w:rsidR="00D15EA5" w:rsidRPr="0032246D" w:rsidRDefault="00DE39FB" w:rsidP="00EF1EAF">
      <w:pPr>
        <w:spacing w:after="0"/>
        <w:jc w:val="both"/>
        <w:rPr>
          <w:sz w:val="19"/>
          <w:szCs w:val="19"/>
          <w:lang w:val="en-US"/>
        </w:rPr>
      </w:pPr>
      <w:r>
        <w:rPr>
          <w:sz w:val="19"/>
          <w:szCs w:val="19"/>
          <w:lang w:val="en-US"/>
        </w:rPr>
        <w:t>1 March 2021</w:t>
      </w:r>
    </w:p>
    <w:sectPr w:rsidR="00D15EA5" w:rsidRPr="0032246D" w:rsidSect="008719C2">
      <w:headerReference w:type="even" r:id="rId11"/>
      <w:headerReference w:type="default" r:id="rId12"/>
      <w:headerReference w:type="first" r:id="rId13"/>
      <w:pgSz w:w="11907" w:h="16840" w:code="9"/>
      <w:pgMar w:top="1985" w:right="913" w:bottom="510" w:left="2665" w:header="743" w:footer="1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5CB9" w14:textId="77777777" w:rsidR="00FF5A7B" w:rsidRDefault="00FF5A7B">
      <w:r>
        <w:separator/>
      </w:r>
    </w:p>
  </w:endnote>
  <w:endnote w:type="continuationSeparator" w:id="0">
    <w:p w14:paraId="1CC97912" w14:textId="77777777" w:rsidR="00FF5A7B" w:rsidRDefault="00FF5A7B">
      <w:r>
        <w:continuationSeparator/>
      </w:r>
    </w:p>
  </w:endnote>
  <w:endnote w:type="continuationNotice" w:id="1">
    <w:p w14:paraId="5CE0657D" w14:textId="77777777" w:rsidR="00FF5A7B" w:rsidRDefault="00FF5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63AC7" w14:textId="77777777" w:rsidR="00FF5A7B" w:rsidRDefault="00FF5A7B">
      <w:bookmarkStart w:id="0" w:name="_Hlk482348182"/>
      <w:bookmarkEnd w:id="0"/>
      <w:r>
        <w:separator/>
      </w:r>
    </w:p>
  </w:footnote>
  <w:footnote w:type="continuationSeparator" w:id="0">
    <w:p w14:paraId="5AC1C87C" w14:textId="77777777" w:rsidR="00FF5A7B" w:rsidRDefault="00FF5A7B">
      <w:r>
        <w:continuationSeparator/>
      </w:r>
    </w:p>
  </w:footnote>
  <w:footnote w:type="continuationNotice" w:id="1">
    <w:p w14:paraId="2B1AAFDF" w14:textId="77777777" w:rsidR="00FF5A7B" w:rsidRDefault="00FF5A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7801" w14:textId="77777777" w:rsidR="00791F3E" w:rsidRDefault="00791F3E"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3E35" w14:textId="3176AA02" w:rsidR="00791F3E" w:rsidRDefault="00791F3E" w:rsidP="00D96128">
    <w:pPr>
      <w:pStyle w:val="Header"/>
      <w:jc w:val="right"/>
    </w:pPr>
  </w:p>
  <w:p w14:paraId="19A240E9" w14:textId="77777777" w:rsidR="00791F3E" w:rsidRPr="0079502D" w:rsidRDefault="00791F3E"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6923" w14:textId="77777777" w:rsidR="00791F3E" w:rsidRDefault="00791F3E" w:rsidP="00D15EA5">
    <w:pPr>
      <w:pStyle w:val="Header"/>
      <w:tabs>
        <w:tab w:val="clear" w:pos="8562"/>
        <w:tab w:val="left" w:pos="5328"/>
      </w:tabs>
      <w:spacing w:after="1418"/>
    </w:pPr>
  </w:p>
  <w:p w14:paraId="46BD1ED5" w14:textId="06E50EE2" w:rsidR="00791F3E" w:rsidRPr="00EF1EAF" w:rsidRDefault="00EF1EAF" w:rsidP="00CD4D4E">
    <w:pPr>
      <w:pStyle w:val="Header"/>
      <w:tabs>
        <w:tab w:val="clear" w:pos="8562"/>
        <w:tab w:val="left" w:pos="5328"/>
      </w:tabs>
      <w:spacing w:line="276" w:lineRule="auto"/>
      <w:rPr>
        <w:rFonts w:asciiTheme="majorHAnsi" w:hAnsiTheme="majorHAnsi" w:cstheme="majorHAnsi"/>
        <w:color w:val="4F2D7F"/>
        <w:sz w:val="40"/>
        <w:szCs w:val="40"/>
        <w:lang w:val="en-US" w:bidi="th-TH"/>
      </w:rPr>
    </w:pPr>
    <w:r w:rsidRPr="00EF1EAF">
      <w:rPr>
        <w:rFonts w:ascii="Garamond" w:hAnsi="Garamond"/>
        <w:sz w:val="28"/>
        <w:szCs w:val="28"/>
      </w:rPr>
      <w:t xml:space="preserve"> </w:t>
    </w:r>
    <w:r w:rsidRPr="00EF1EAF">
      <w:rPr>
        <w:rFonts w:asciiTheme="majorHAnsi" w:hAnsiTheme="majorHAnsi" w:cstheme="majorHAnsi"/>
        <w:color w:val="000000" w:themeColor="text1"/>
        <w:sz w:val="28"/>
        <w:szCs w:val="28"/>
      </w:rPr>
      <w:t>INDEPENDENT AUDITOR’S REPORT</w:t>
    </w:r>
  </w:p>
  <w:p w14:paraId="5B5A1995" w14:textId="77777777" w:rsidR="00791F3E" w:rsidRDefault="00791F3E" w:rsidP="00D15EA5">
    <w:pPr>
      <w:pStyle w:val="Header"/>
    </w:pPr>
    <w:bookmarkStart w:id="2" w:name="Footer3_tbl"/>
    <w:bookmarkEnd w:id="2"/>
  </w:p>
  <w:p w14:paraId="2A94419F" w14:textId="7BDDA0E2" w:rsidR="00791F3E" w:rsidRDefault="00791F3E" w:rsidP="00D961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0B5F66F1"/>
    <w:multiLevelType w:val="hybridMultilevel"/>
    <w:tmpl w:val="7E341900"/>
    <w:lvl w:ilvl="0" w:tplc="4D3A15B0">
      <w:numFmt w:val="bullet"/>
      <w:lvlText w:val="-"/>
      <w:lvlJc w:val="left"/>
      <w:pPr>
        <w:ind w:left="720" w:hanging="360"/>
      </w:pPr>
      <w:rPr>
        <w:rFonts w:ascii="Garamond" w:eastAsia="Times New Roman" w:hAnsi="Garamond"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E53A8"/>
    <w:multiLevelType w:val="hybridMultilevel"/>
    <w:tmpl w:val="1AF6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51AD"/>
    <w:multiLevelType w:val="hybridMultilevel"/>
    <w:tmpl w:val="549A03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B320A3C"/>
    <w:multiLevelType w:val="hybridMultilevel"/>
    <w:tmpl w:val="944E00C6"/>
    <w:lvl w:ilvl="0" w:tplc="19C6015C">
      <w:numFmt w:val="bullet"/>
      <w:lvlText w:val="-"/>
      <w:lvlJc w:val="left"/>
      <w:pPr>
        <w:ind w:left="720" w:hanging="360"/>
      </w:pPr>
      <w:rPr>
        <w:rFonts w:ascii="Browallia New" w:eastAsia="Times New Roman" w:hAnsi="Browallia New" w:cs="Browalli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996E7C"/>
    <w:multiLevelType w:val="hybridMultilevel"/>
    <w:tmpl w:val="CECA9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4" w15:restartNumberingAfterBreak="0">
    <w:nsid w:val="1FBB7D7E"/>
    <w:multiLevelType w:val="hybridMultilevel"/>
    <w:tmpl w:val="50C27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E3DDB"/>
    <w:multiLevelType w:val="hybridMultilevel"/>
    <w:tmpl w:val="899A3EA0"/>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6" w15:restartNumberingAfterBreak="0">
    <w:nsid w:val="26EC6E74"/>
    <w:multiLevelType w:val="hybridMultilevel"/>
    <w:tmpl w:val="5CA459BE"/>
    <w:lvl w:ilvl="0" w:tplc="CC763FC4">
      <w:start w:val="1"/>
      <w:numFmt w:val="bullet"/>
      <w:lvlText w:val="•"/>
      <w:lvlJc w:val="left"/>
      <w:pPr>
        <w:ind w:left="1713" w:hanging="360"/>
      </w:pPr>
      <w:rPr>
        <w:rFonts w:ascii="Garamond" w:eastAsia="Calibri" w:hAnsi="Garamond" w:cs="Garamond"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26FC4ED2"/>
    <w:multiLevelType w:val="hybridMultilevel"/>
    <w:tmpl w:val="745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5660F"/>
    <w:multiLevelType w:val="singleLevel"/>
    <w:tmpl w:val="DF1CF6E6"/>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3ABE546B"/>
    <w:multiLevelType w:val="hybridMultilevel"/>
    <w:tmpl w:val="C8342B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BA976CF"/>
    <w:multiLevelType w:val="multilevel"/>
    <w:tmpl w:val="98FC98AC"/>
    <w:numStyleLink w:val="GTListNumber"/>
  </w:abstractNum>
  <w:abstractNum w:abstractNumId="22"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92DAD"/>
    <w:multiLevelType w:val="hybridMultilevel"/>
    <w:tmpl w:val="4E10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5" w15:restartNumberingAfterBreak="0">
    <w:nsid w:val="5B39669A"/>
    <w:multiLevelType w:val="hybridMultilevel"/>
    <w:tmpl w:val="DBDAF390"/>
    <w:lvl w:ilvl="0" w:tplc="204C48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B5E6E"/>
    <w:multiLevelType w:val="multilevel"/>
    <w:tmpl w:val="FAE6F968"/>
    <w:numStyleLink w:val="GTListBullet"/>
  </w:abstractNum>
  <w:abstractNum w:abstractNumId="27" w15:restartNumberingAfterBreak="0">
    <w:nsid w:val="5F0F7A80"/>
    <w:multiLevelType w:val="hybridMultilevel"/>
    <w:tmpl w:val="AA90C4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9"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7153713"/>
    <w:multiLevelType w:val="hybridMultilevel"/>
    <w:tmpl w:val="81E0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24C95"/>
    <w:multiLevelType w:val="multilevel"/>
    <w:tmpl w:val="0D561ACA"/>
    <w:numStyleLink w:val="GTNumberedHeadings"/>
  </w:abstractNum>
  <w:num w:numId="1">
    <w:abstractNumId w:val="3"/>
  </w:num>
  <w:num w:numId="2">
    <w:abstractNumId w:val="2"/>
  </w:num>
  <w:num w:numId="3">
    <w:abstractNumId w:val="1"/>
  </w:num>
  <w:num w:numId="4">
    <w:abstractNumId w:val="0"/>
  </w:num>
  <w:num w:numId="5">
    <w:abstractNumId w:val="9"/>
  </w:num>
  <w:num w:numId="6">
    <w:abstractNumId w:val="5"/>
  </w:num>
  <w:num w:numId="7">
    <w:abstractNumId w:val="19"/>
  </w:num>
  <w:num w:numId="8">
    <w:abstractNumId w:val="31"/>
  </w:num>
  <w:num w:numId="9">
    <w:abstractNumId w:val="5"/>
  </w:num>
  <w:num w:numId="10">
    <w:abstractNumId w:val="28"/>
  </w:num>
  <w:num w:numId="11">
    <w:abstractNumId w:val="24"/>
  </w:num>
  <w:num w:numId="12">
    <w:abstractNumId w:val="4"/>
  </w:num>
  <w:num w:numId="13">
    <w:abstractNumId w:val="13"/>
  </w:num>
  <w:num w:numId="14">
    <w:abstractNumId w:val="10"/>
  </w:num>
  <w:num w:numId="15">
    <w:abstractNumId w:val="13"/>
  </w:num>
  <w:num w:numId="16">
    <w:abstractNumId w:val="26"/>
  </w:num>
  <w:num w:numId="17">
    <w:abstractNumId w:val="21"/>
  </w:num>
  <w:num w:numId="18">
    <w:abstractNumId w:val="11"/>
  </w:num>
  <w:num w:numId="19">
    <w:abstractNumId w:val="22"/>
  </w:num>
  <w:num w:numId="20">
    <w:abstractNumId w:val="18"/>
  </w:num>
  <w:num w:numId="21">
    <w:abstractNumId w:val="6"/>
  </w:num>
  <w:num w:numId="22">
    <w:abstractNumId w:val="29"/>
  </w:num>
  <w:num w:numId="23">
    <w:abstractNumId w:val="23"/>
  </w:num>
  <w:num w:numId="24">
    <w:abstractNumId w:val="20"/>
  </w:num>
  <w:num w:numId="25">
    <w:abstractNumId w:val="17"/>
  </w:num>
  <w:num w:numId="26">
    <w:abstractNumId w:val="7"/>
  </w:num>
  <w:num w:numId="27">
    <w:abstractNumId w:val="30"/>
  </w:num>
  <w:num w:numId="28">
    <w:abstractNumId w:val="12"/>
  </w:num>
  <w:num w:numId="29">
    <w:abstractNumId w:val="8"/>
  </w:num>
  <w:num w:numId="30">
    <w:abstractNumId w:val="16"/>
  </w:num>
  <w:num w:numId="31">
    <w:abstractNumId w:val="27"/>
  </w:num>
  <w:num w:numId="32">
    <w:abstractNumId w:val="15"/>
  </w:num>
  <w:num w:numId="33">
    <w:abstractNumId w:val="25"/>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0C59"/>
    <w:rsid w:val="000014BF"/>
    <w:rsid w:val="000028EE"/>
    <w:rsid w:val="00002993"/>
    <w:rsid w:val="000031CD"/>
    <w:rsid w:val="00004905"/>
    <w:rsid w:val="00004B8D"/>
    <w:rsid w:val="00007ACD"/>
    <w:rsid w:val="00007C66"/>
    <w:rsid w:val="00011826"/>
    <w:rsid w:val="00012578"/>
    <w:rsid w:val="0001460C"/>
    <w:rsid w:val="00015266"/>
    <w:rsid w:val="00015CBA"/>
    <w:rsid w:val="000162B0"/>
    <w:rsid w:val="00016ABC"/>
    <w:rsid w:val="0001787D"/>
    <w:rsid w:val="000206C8"/>
    <w:rsid w:val="00021B6B"/>
    <w:rsid w:val="00022BB9"/>
    <w:rsid w:val="000230F6"/>
    <w:rsid w:val="0002366E"/>
    <w:rsid w:val="00024C02"/>
    <w:rsid w:val="00025625"/>
    <w:rsid w:val="0003023B"/>
    <w:rsid w:val="0003072B"/>
    <w:rsid w:val="00031D17"/>
    <w:rsid w:val="00033D50"/>
    <w:rsid w:val="000351CD"/>
    <w:rsid w:val="00035C31"/>
    <w:rsid w:val="00036267"/>
    <w:rsid w:val="00036ED5"/>
    <w:rsid w:val="000413D4"/>
    <w:rsid w:val="00041FC6"/>
    <w:rsid w:val="000427CC"/>
    <w:rsid w:val="00042DCB"/>
    <w:rsid w:val="000432C9"/>
    <w:rsid w:val="000434B4"/>
    <w:rsid w:val="0004446D"/>
    <w:rsid w:val="00044ACE"/>
    <w:rsid w:val="0004550E"/>
    <w:rsid w:val="000510CC"/>
    <w:rsid w:val="00051173"/>
    <w:rsid w:val="00051D6A"/>
    <w:rsid w:val="00051E47"/>
    <w:rsid w:val="00052614"/>
    <w:rsid w:val="0005294D"/>
    <w:rsid w:val="00053EA1"/>
    <w:rsid w:val="00054520"/>
    <w:rsid w:val="00054D57"/>
    <w:rsid w:val="00055195"/>
    <w:rsid w:val="00055FB9"/>
    <w:rsid w:val="00056D37"/>
    <w:rsid w:val="00060BCA"/>
    <w:rsid w:val="00061F2C"/>
    <w:rsid w:val="0006201F"/>
    <w:rsid w:val="000663EC"/>
    <w:rsid w:val="000671F6"/>
    <w:rsid w:val="00071E9E"/>
    <w:rsid w:val="000723F7"/>
    <w:rsid w:val="00072931"/>
    <w:rsid w:val="000733DD"/>
    <w:rsid w:val="00074485"/>
    <w:rsid w:val="00075118"/>
    <w:rsid w:val="000753BE"/>
    <w:rsid w:val="00075F0D"/>
    <w:rsid w:val="0007606E"/>
    <w:rsid w:val="000775F1"/>
    <w:rsid w:val="000776DC"/>
    <w:rsid w:val="00077E5A"/>
    <w:rsid w:val="00080000"/>
    <w:rsid w:val="00080377"/>
    <w:rsid w:val="00081C0D"/>
    <w:rsid w:val="00081EFE"/>
    <w:rsid w:val="000828F1"/>
    <w:rsid w:val="00082F59"/>
    <w:rsid w:val="0008382E"/>
    <w:rsid w:val="00084E91"/>
    <w:rsid w:val="0008703C"/>
    <w:rsid w:val="000905D1"/>
    <w:rsid w:val="000915D7"/>
    <w:rsid w:val="00091CD1"/>
    <w:rsid w:val="000928BA"/>
    <w:rsid w:val="0009303F"/>
    <w:rsid w:val="00094285"/>
    <w:rsid w:val="00094333"/>
    <w:rsid w:val="0009454E"/>
    <w:rsid w:val="00094D46"/>
    <w:rsid w:val="0009574A"/>
    <w:rsid w:val="000959A2"/>
    <w:rsid w:val="000964DE"/>
    <w:rsid w:val="000975E4"/>
    <w:rsid w:val="00097963"/>
    <w:rsid w:val="00097FAB"/>
    <w:rsid w:val="000A104F"/>
    <w:rsid w:val="000A4D93"/>
    <w:rsid w:val="000A5073"/>
    <w:rsid w:val="000A57E6"/>
    <w:rsid w:val="000A6D65"/>
    <w:rsid w:val="000A7553"/>
    <w:rsid w:val="000B05F2"/>
    <w:rsid w:val="000B2B65"/>
    <w:rsid w:val="000B32C2"/>
    <w:rsid w:val="000B35F6"/>
    <w:rsid w:val="000B35F7"/>
    <w:rsid w:val="000B5267"/>
    <w:rsid w:val="000B5DE6"/>
    <w:rsid w:val="000B650B"/>
    <w:rsid w:val="000B65E3"/>
    <w:rsid w:val="000B7090"/>
    <w:rsid w:val="000B7320"/>
    <w:rsid w:val="000C0197"/>
    <w:rsid w:val="000C0A20"/>
    <w:rsid w:val="000C103F"/>
    <w:rsid w:val="000C3B97"/>
    <w:rsid w:val="000C405C"/>
    <w:rsid w:val="000C410A"/>
    <w:rsid w:val="000C4F7E"/>
    <w:rsid w:val="000C51DB"/>
    <w:rsid w:val="000C5477"/>
    <w:rsid w:val="000C5965"/>
    <w:rsid w:val="000C60DC"/>
    <w:rsid w:val="000C7BC7"/>
    <w:rsid w:val="000C7E53"/>
    <w:rsid w:val="000D03A3"/>
    <w:rsid w:val="000D12D8"/>
    <w:rsid w:val="000D270D"/>
    <w:rsid w:val="000D4195"/>
    <w:rsid w:val="000D5300"/>
    <w:rsid w:val="000D5960"/>
    <w:rsid w:val="000E1489"/>
    <w:rsid w:val="000E3219"/>
    <w:rsid w:val="000E35D8"/>
    <w:rsid w:val="000E3D58"/>
    <w:rsid w:val="000E5048"/>
    <w:rsid w:val="000E52CE"/>
    <w:rsid w:val="000E6DE6"/>
    <w:rsid w:val="000E7E34"/>
    <w:rsid w:val="000F0317"/>
    <w:rsid w:val="000F1BB1"/>
    <w:rsid w:val="000F1C7B"/>
    <w:rsid w:val="000F2544"/>
    <w:rsid w:val="000F3AAB"/>
    <w:rsid w:val="000F60BD"/>
    <w:rsid w:val="000F6E25"/>
    <w:rsid w:val="000F7F7E"/>
    <w:rsid w:val="00100B72"/>
    <w:rsid w:val="001011DF"/>
    <w:rsid w:val="00101A78"/>
    <w:rsid w:val="00101C1A"/>
    <w:rsid w:val="00102B69"/>
    <w:rsid w:val="00102E97"/>
    <w:rsid w:val="00103251"/>
    <w:rsid w:val="0010393B"/>
    <w:rsid w:val="00103CDA"/>
    <w:rsid w:val="00105D40"/>
    <w:rsid w:val="00106F14"/>
    <w:rsid w:val="00107151"/>
    <w:rsid w:val="00107EE7"/>
    <w:rsid w:val="0011002D"/>
    <w:rsid w:val="00110CB6"/>
    <w:rsid w:val="00111332"/>
    <w:rsid w:val="001114C5"/>
    <w:rsid w:val="00111542"/>
    <w:rsid w:val="001118D5"/>
    <w:rsid w:val="001123D6"/>
    <w:rsid w:val="00112AAE"/>
    <w:rsid w:val="00112B69"/>
    <w:rsid w:val="001130D5"/>
    <w:rsid w:val="0011428C"/>
    <w:rsid w:val="00114AD3"/>
    <w:rsid w:val="00115C9B"/>
    <w:rsid w:val="00115FEB"/>
    <w:rsid w:val="00117F41"/>
    <w:rsid w:val="00120A0A"/>
    <w:rsid w:val="00122223"/>
    <w:rsid w:val="00122643"/>
    <w:rsid w:val="00122E37"/>
    <w:rsid w:val="00122E6E"/>
    <w:rsid w:val="001246C5"/>
    <w:rsid w:val="00125CEB"/>
    <w:rsid w:val="001316D3"/>
    <w:rsid w:val="00131E71"/>
    <w:rsid w:val="0013283E"/>
    <w:rsid w:val="00134410"/>
    <w:rsid w:val="00134B1D"/>
    <w:rsid w:val="00135386"/>
    <w:rsid w:val="00136CE9"/>
    <w:rsid w:val="00137479"/>
    <w:rsid w:val="00137DA4"/>
    <w:rsid w:val="0014035C"/>
    <w:rsid w:val="00140DF0"/>
    <w:rsid w:val="001415CC"/>
    <w:rsid w:val="00142656"/>
    <w:rsid w:val="001435E1"/>
    <w:rsid w:val="0014587A"/>
    <w:rsid w:val="001472E4"/>
    <w:rsid w:val="0014730F"/>
    <w:rsid w:val="0015085A"/>
    <w:rsid w:val="00150C1E"/>
    <w:rsid w:val="00150FE9"/>
    <w:rsid w:val="00153E05"/>
    <w:rsid w:val="00154EE1"/>
    <w:rsid w:val="001554CD"/>
    <w:rsid w:val="00155A91"/>
    <w:rsid w:val="00156501"/>
    <w:rsid w:val="00156678"/>
    <w:rsid w:val="00156F6A"/>
    <w:rsid w:val="00157389"/>
    <w:rsid w:val="001577AB"/>
    <w:rsid w:val="001577B3"/>
    <w:rsid w:val="00160053"/>
    <w:rsid w:val="001603DA"/>
    <w:rsid w:val="001613E2"/>
    <w:rsid w:val="0016459D"/>
    <w:rsid w:val="00164FD6"/>
    <w:rsid w:val="001654F4"/>
    <w:rsid w:val="00165C6D"/>
    <w:rsid w:val="00167017"/>
    <w:rsid w:val="00167853"/>
    <w:rsid w:val="00167887"/>
    <w:rsid w:val="00171C03"/>
    <w:rsid w:val="00171DA5"/>
    <w:rsid w:val="00172429"/>
    <w:rsid w:val="001726C5"/>
    <w:rsid w:val="001727C4"/>
    <w:rsid w:val="001727EE"/>
    <w:rsid w:val="00172AC5"/>
    <w:rsid w:val="0017412D"/>
    <w:rsid w:val="0017515E"/>
    <w:rsid w:val="00177B3F"/>
    <w:rsid w:val="001804AB"/>
    <w:rsid w:val="00180752"/>
    <w:rsid w:val="00181F49"/>
    <w:rsid w:val="00182676"/>
    <w:rsid w:val="00182DC8"/>
    <w:rsid w:val="0018316A"/>
    <w:rsid w:val="00183A83"/>
    <w:rsid w:val="00184961"/>
    <w:rsid w:val="00184B68"/>
    <w:rsid w:val="0018580D"/>
    <w:rsid w:val="0019210D"/>
    <w:rsid w:val="00192B4F"/>
    <w:rsid w:val="001949EC"/>
    <w:rsid w:val="00194ECA"/>
    <w:rsid w:val="001A150E"/>
    <w:rsid w:val="001A167D"/>
    <w:rsid w:val="001A194E"/>
    <w:rsid w:val="001A2658"/>
    <w:rsid w:val="001A3760"/>
    <w:rsid w:val="001A3BA4"/>
    <w:rsid w:val="001A3BFB"/>
    <w:rsid w:val="001A3C20"/>
    <w:rsid w:val="001A4892"/>
    <w:rsid w:val="001A4C3B"/>
    <w:rsid w:val="001A5AEF"/>
    <w:rsid w:val="001A5B5C"/>
    <w:rsid w:val="001B0602"/>
    <w:rsid w:val="001B0800"/>
    <w:rsid w:val="001B15C7"/>
    <w:rsid w:val="001B1949"/>
    <w:rsid w:val="001B198C"/>
    <w:rsid w:val="001B23FC"/>
    <w:rsid w:val="001B2EEB"/>
    <w:rsid w:val="001B6F8D"/>
    <w:rsid w:val="001B7388"/>
    <w:rsid w:val="001C12F6"/>
    <w:rsid w:val="001C5479"/>
    <w:rsid w:val="001C5AC6"/>
    <w:rsid w:val="001C606E"/>
    <w:rsid w:val="001C648C"/>
    <w:rsid w:val="001C699C"/>
    <w:rsid w:val="001C6D5C"/>
    <w:rsid w:val="001D2302"/>
    <w:rsid w:val="001D25D4"/>
    <w:rsid w:val="001D2814"/>
    <w:rsid w:val="001D29B1"/>
    <w:rsid w:val="001D581B"/>
    <w:rsid w:val="001D6254"/>
    <w:rsid w:val="001D7BB3"/>
    <w:rsid w:val="001E12A6"/>
    <w:rsid w:val="001E1972"/>
    <w:rsid w:val="001E19B5"/>
    <w:rsid w:val="001E498F"/>
    <w:rsid w:val="001E4F6B"/>
    <w:rsid w:val="001E6F6A"/>
    <w:rsid w:val="001F0691"/>
    <w:rsid w:val="001F0A49"/>
    <w:rsid w:val="001F193F"/>
    <w:rsid w:val="001F2093"/>
    <w:rsid w:val="001F2456"/>
    <w:rsid w:val="001F493D"/>
    <w:rsid w:val="001F5121"/>
    <w:rsid w:val="001F5EA9"/>
    <w:rsid w:val="001F6AF9"/>
    <w:rsid w:val="001F7659"/>
    <w:rsid w:val="001F7F05"/>
    <w:rsid w:val="00203703"/>
    <w:rsid w:val="00203CE4"/>
    <w:rsid w:val="00204584"/>
    <w:rsid w:val="00204B0B"/>
    <w:rsid w:val="002054C4"/>
    <w:rsid w:val="00206244"/>
    <w:rsid w:val="00210D7F"/>
    <w:rsid w:val="002119BB"/>
    <w:rsid w:val="00212E0B"/>
    <w:rsid w:val="0021328C"/>
    <w:rsid w:val="00213E60"/>
    <w:rsid w:val="00215203"/>
    <w:rsid w:val="00217B55"/>
    <w:rsid w:val="00220002"/>
    <w:rsid w:val="0022139E"/>
    <w:rsid w:val="00221658"/>
    <w:rsid w:val="00223CE7"/>
    <w:rsid w:val="0022518C"/>
    <w:rsid w:val="0022569B"/>
    <w:rsid w:val="00226416"/>
    <w:rsid w:val="002268EB"/>
    <w:rsid w:val="00226D2A"/>
    <w:rsid w:val="00230EE4"/>
    <w:rsid w:val="002314E1"/>
    <w:rsid w:val="002316B1"/>
    <w:rsid w:val="002319D3"/>
    <w:rsid w:val="00232BC9"/>
    <w:rsid w:val="00233375"/>
    <w:rsid w:val="002350A5"/>
    <w:rsid w:val="00235B44"/>
    <w:rsid w:val="0023695D"/>
    <w:rsid w:val="002378DD"/>
    <w:rsid w:val="00237A7E"/>
    <w:rsid w:val="00240182"/>
    <w:rsid w:val="0024044C"/>
    <w:rsid w:val="0024163D"/>
    <w:rsid w:val="00241F16"/>
    <w:rsid w:val="0024436B"/>
    <w:rsid w:val="00244C4C"/>
    <w:rsid w:val="0024743F"/>
    <w:rsid w:val="00247969"/>
    <w:rsid w:val="00247FF6"/>
    <w:rsid w:val="00252814"/>
    <w:rsid w:val="0025410F"/>
    <w:rsid w:val="002542AB"/>
    <w:rsid w:val="00254409"/>
    <w:rsid w:val="00254A46"/>
    <w:rsid w:val="00255FAC"/>
    <w:rsid w:val="002574B0"/>
    <w:rsid w:val="002578C3"/>
    <w:rsid w:val="002579FE"/>
    <w:rsid w:val="00257D0D"/>
    <w:rsid w:val="00260340"/>
    <w:rsid w:val="0026075B"/>
    <w:rsid w:val="00260C62"/>
    <w:rsid w:val="0026182A"/>
    <w:rsid w:val="00262C5E"/>
    <w:rsid w:val="00267831"/>
    <w:rsid w:val="00267E56"/>
    <w:rsid w:val="00267E90"/>
    <w:rsid w:val="00270760"/>
    <w:rsid w:val="00270F74"/>
    <w:rsid w:val="0027106C"/>
    <w:rsid w:val="002723A4"/>
    <w:rsid w:val="00274370"/>
    <w:rsid w:val="00276382"/>
    <w:rsid w:val="00276599"/>
    <w:rsid w:val="00277476"/>
    <w:rsid w:val="00277EBE"/>
    <w:rsid w:val="00280186"/>
    <w:rsid w:val="0028129E"/>
    <w:rsid w:val="00282040"/>
    <w:rsid w:val="00282DC6"/>
    <w:rsid w:val="002838FB"/>
    <w:rsid w:val="00284D89"/>
    <w:rsid w:val="00285249"/>
    <w:rsid w:val="0028678C"/>
    <w:rsid w:val="00286D77"/>
    <w:rsid w:val="00286FFA"/>
    <w:rsid w:val="00287BDF"/>
    <w:rsid w:val="00291E03"/>
    <w:rsid w:val="00294095"/>
    <w:rsid w:val="00295E24"/>
    <w:rsid w:val="00296B0B"/>
    <w:rsid w:val="002A10BC"/>
    <w:rsid w:val="002A252E"/>
    <w:rsid w:val="002A36A2"/>
    <w:rsid w:val="002A4BA5"/>
    <w:rsid w:val="002A58D4"/>
    <w:rsid w:val="002A7F21"/>
    <w:rsid w:val="002B0C20"/>
    <w:rsid w:val="002B1043"/>
    <w:rsid w:val="002B1061"/>
    <w:rsid w:val="002B22FA"/>
    <w:rsid w:val="002B2735"/>
    <w:rsid w:val="002B2D49"/>
    <w:rsid w:val="002B4281"/>
    <w:rsid w:val="002B4B25"/>
    <w:rsid w:val="002B5393"/>
    <w:rsid w:val="002B5446"/>
    <w:rsid w:val="002B5819"/>
    <w:rsid w:val="002B5A4A"/>
    <w:rsid w:val="002B5B80"/>
    <w:rsid w:val="002B62D9"/>
    <w:rsid w:val="002B66F3"/>
    <w:rsid w:val="002C0685"/>
    <w:rsid w:val="002C38FB"/>
    <w:rsid w:val="002C3DCF"/>
    <w:rsid w:val="002C515C"/>
    <w:rsid w:val="002C546B"/>
    <w:rsid w:val="002C54A5"/>
    <w:rsid w:val="002C5E12"/>
    <w:rsid w:val="002C61EC"/>
    <w:rsid w:val="002C623D"/>
    <w:rsid w:val="002C7DDF"/>
    <w:rsid w:val="002D1832"/>
    <w:rsid w:val="002D1D13"/>
    <w:rsid w:val="002D24CA"/>
    <w:rsid w:val="002D31BD"/>
    <w:rsid w:val="002D4286"/>
    <w:rsid w:val="002D5A0F"/>
    <w:rsid w:val="002D6764"/>
    <w:rsid w:val="002D6E25"/>
    <w:rsid w:val="002D777A"/>
    <w:rsid w:val="002E02F4"/>
    <w:rsid w:val="002E121E"/>
    <w:rsid w:val="002E13FB"/>
    <w:rsid w:val="002E2D6B"/>
    <w:rsid w:val="002E39DE"/>
    <w:rsid w:val="002E3CEF"/>
    <w:rsid w:val="002E6553"/>
    <w:rsid w:val="002E6A10"/>
    <w:rsid w:val="002E7F1E"/>
    <w:rsid w:val="002F01A0"/>
    <w:rsid w:val="002F1423"/>
    <w:rsid w:val="002F158B"/>
    <w:rsid w:val="002F27AA"/>
    <w:rsid w:val="002F2DEB"/>
    <w:rsid w:val="002F3903"/>
    <w:rsid w:val="002F4997"/>
    <w:rsid w:val="002F4A52"/>
    <w:rsid w:val="002F61D5"/>
    <w:rsid w:val="002F7B4B"/>
    <w:rsid w:val="002F7D90"/>
    <w:rsid w:val="0030026A"/>
    <w:rsid w:val="0030142C"/>
    <w:rsid w:val="003017EF"/>
    <w:rsid w:val="00303CB4"/>
    <w:rsid w:val="00305173"/>
    <w:rsid w:val="00305B3D"/>
    <w:rsid w:val="00307C52"/>
    <w:rsid w:val="0031039A"/>
    <w:rsid w:val="00310688"/>
    <w:rsid w:val="00311D0B"/>
    <w:rsid w:val="0031276D"/>
    <w:rsid w:val="0031413A"/>
    <w:rsid w:val="003148BB"/>
    <w:rsid w:val="00315341"/>
    <w:rsid w:val="003157F0"/>
    <w:rsid w:val="00316294"/>
    <w:rsid w:val="003174D8"/>
    <w:rsid w:val="00321A76"/>
    <w:rsid w:val="0032246D"/>
    <w:rsid w:val="003235DF"/>
    <w:rsid w:val="003254B8"/>
    <w:rsid w:val="003256DB"/>
    <w:rsid w:val="00326CE0"/>
    <w:rsid w:val="00327649"/>
    <w:rsid w:val="003301C6"/>
    <w:rsid w:val="003305F1"/>
    <w:rsid w:val="00330AA1"/>
    <w:rsid w:val="0033115C"/>
    <w:rsid w:val="00334964"/>
    <w:rsid w:val="00335E5B"/>
    <w:rsid w:val="00336C4D"/>
    <w:rsid w:val="00336D90"/>
    <w:rsid w:val="00336EBB"/>
    <w:rsid w:val="003376AC"/>
    <w:rsid w:val="00337C2C"/>
    <w:rsid w:val="00340156"/>
    <w:rsid w:val="00340A02"/>
    <w:rsid w:val="0034226E"/>
    <w:rsid w:val="00342BCF"/>
    <w:rsid w:val="003448D8"/>
    <w:rsid w:val="00344E4D"/>
    <w:rsid w:val="00345214"/>
    <w:rsid w:val="003454B3"/>
    <w:rsid w:val="00346FD6"/>
    <w:rsid w:val="00347277"/>
    <w:rsid w:val="00350B6D"/>
    <w:rsid w:val="0035128D"/>
    <w:rsid w:val="00351CE2"/>
    <w:rsid w:val="00352327"/>
    <w:rsid w:val="00352FF8"/>
    <w:rsid w:val="00354F5D"/>
    <w:rsid w:val="0035560A"/>
    <w:rsid w:val="00356071"/>
    <w:rsid w:val="00356A35"/>
    <w:rsid w:val="00356AD0"/>
    <w:rsid w:val="003572BB"/>
    <w:rsid w:val="003610E9"/>
    <w:rsid w:val="00362019"/>
    <w:rsid w:val="00362F89"/>
    <w:rsid w:val="00363791"/>
    <w:rsid w:val="00363C11"/>
    <w:rsid w:val="00363FCA"/>
    <w:rsid w:val="0036424E"/>
    <w:rsid w:val="003650F3"/>
    <w:rsid w:val="00365ECE"/>
    <w:rsid w:val="003664F0"/>
    <w:rsid w:val="00366761"/>
    <w:rsid w:val="00367B2C"/>
    <w:rsid w:val="0037002E"/>
    <w:rsid w:val="003712B8"/>
    <w:rsid w:val="003719C3"/>
    <w:rsid w:val="0037351F"/>
    <w:rsid w:val="003744DA"/>
    <w:rsid w:val="00375042"/>
    <w:rsid w:val="00375323"/>
    <w:rsid w:val="0037681A"/>
    <w:rsid w:val="00376AA7"/>
    <w:rsid w:val="00376FA1"/>
    <w:rsid w:val="00377233"/>
    <w:rsid w:val="00380948"/>
    <w:rsid w:val="00380B6A"/>
    <w:rsid w:val="003819D1"/>
    <w:rsid w:val="00381B2F"/>
    <w:rsid w:val="0038479B"/>
    <w:rsid w:val="00384904"/>
    <w:rsid w:val="00385690"/>
    <w:rsid w:val="00385D65"/>
    <w:rsid w:val="00385D8E"/>
    <w:rsid w:val="00386DAE"/>
    <w:rsid w:val="00391044"/>
    <w:rsid w:val="00392C2E"/>
    <w:rsid w:val="00393E51"/>
    <w:rsid w:val="00394168"/>
    <w:rsid w:val="0039565C"/>
    <w:rsid w:val="003956A0"/>
    <w:rsid w:val="0039698D"/>
    <w:rsid w:val="00397A97"/>
    <w:rsid w:val="00397AF5"/>
    <w:rsid w:val="00397B9D"/>
    <w:rsid w:val="003A05C3"/>
    <w:rsid w:val="003A23CB"/>
    <w:rsid w:val="003A4123"/>
    <w:rsid w:val="003A579E"/>
    <w:rsid w:val="003A5AB3"/>
    <w:rsid w:val="003A665F"/>
    <w:rsid w:val="003A7DC4"/>
    <w:rsid w:val="003B0737"/>
    <w:rsid w:val="003B2552"/>
    <w:rsid w:val="003B38BF"/>
    <w:rsid w:val="003B407B"/>
    <w:rsid w:val="003B42B1"/>
    <w:rsid w:val="003B45BA"/>
    <w:rsid w:val="003B4CCD"/>
    <w:rsid w:val="003B4DED"/>
    <w:rsid w:val="003C0A76"/>
    <w:rsid w:val="003C12C5"/>
    <w:rsid w:val="003C26E5"/>
    <w:rsid w:val="003C27EF"/>
    <w:rsid w:val="003C32E9"/>
    <w:rsid w:val="003C3898"/>
    <w:rsid w:val="003C3D3F"/>
    <w:rsid w:val="003C3EE8"/>
    <w:rsid w:val="003C4161"/>
    <w:rsid w:val="003C421A"/>
    <w:rsid w:val="003C4750"/>
    <w:rsid w:val="003C7571"/>
    <w:rsid w:val="003D16B0"/>
    <w:rsid w:val="003D17D8"/>
    <w:rsid w:val="003D2605"/>
    <w:rsid w:val="003D31AA"/>
    <w:rsid w:val="003D64D6"/>
    <w:rsid w:val="003D738E"/>
    <w:rsid w:val="003E022E"/>
    <w:rsid w:val="003E0349"/>
    <w:rsid w:val="003E034A"/>
    <w:rsid w:val="003E35AF"/>
    <w:rsid w:val="003E3E21"/>
    <w:rsid w:val="003E5A33"/>
    <w:rsid w:val="003E5F81"/>
    <w:rsid w:val="003E71C1"/>
    <w:rsid w:val="003F16DE"/>
    <w:rsid w:val="003F2F9F"/>
    <w:rsid w:val="003F3251"/>
    <w:rsid w:val="003F46FF"/>
    <w:rsid w:val="003F4E13"/>
    <w:rsid w:val="003F5560"/>
    <w:rsid w:val="003F6606"/>
    <w:rsid w:val="003F76C2"/>
    <w:rsid w:val="003F7E53"/>
    <w:rsid w:val="004007E6"/>
    <w:rsid w:val="00401534"/>
    <w:rsid w:val="00402053"/>
    <w:rsid w:val="00403B66"/>
    <w:rsid w:val="00403B84"/>
    <w:rsid w:val="004043F7"/>
    <w:rsid w:val="00404B05"/>
    <w:rsid w:val="00406CB3"/>
    <w:rsid w:val="00407AA9"/>
    <w:rsid w:val="00410351"/>
    <w:rsid w:val="00410DB3"/>
    <w:rsid w:val="00411D18"/>
    <w:rsid w:val="0041286E"/>
    <w:rsid w:val="004131A9"/>
    <w:rsid w:val="00415565"/>
    <w:rsid w:val="0041620E"/>
    <w:rsid w:val="00416281"/>
    <w:rsid w:val="00416FB3"/>
    <w:rsid w:val="00417890"/>
    <w:rsid w:val="00421621"/>
    <w:rsid w:val="004216F1"/>
    <w:rsid w:val="00421A96"/>
    <w:rsid w:val="00422129"/>
    <w:rsid w:val="00422283"/>
    <w:rsid w:val="00422353"/>
    <w:rsid w:val="00423078"/>
    <w:rsid w:val="00423E42"/>
    <w:rsid w:val="00425006"/>
    <w:rsid w:val="004251C8"/>
    <w:rsid w:val="00425514"/>
    <w:rsid w:val="00425859"/>
    <w:rsid w:val="00426915"/>
    <w:rsid w:val="0043098F"/>
    <w:rsid w:val="004313F6"/>
    <w:rsid w:val="00431AB4"/>
    <w:rsid w:val="00433F63"/>
    <w:rsid w:val="004342DD"/>
    <w:rsid w:val="00434336"/>
    <w:rsid w:val="00434966"/>
    <w:rsid w:val="0043528D"/>
    <w:rsid w:val="00435788"/>
    <w:rsid w:val="004359E6"/>
    <w:rsid w:val="00436F14"/>
    <w:rsid w:val="0043780A"/>
    <w:rsid w:val="004403EC"/>
    <w:rsid w:val="00440802"/>
    <w:rsid w:val="004417F7"/>
    <w:rsid w:val="00443CB4"/>
    <w:rsid w:val="00443CE3"/>
    <w:rsid w:val="00443D15"/>
    <w:rsid w:val="004443A7"/>
    <w:rsid w:val="004468D1"/>
    <w:rsid w:val="00450E13"/>
    <w:rsid w:val="00451948"/>
    <w:rsid w:val="00452E7B"/>
    <w:rsid w:val="00453C56"/>
    <w:rsid w:val="004546FA"/>
    <w:rsid w:val="0045557F"/>
    <w:rsid w:val="00457232"/>
    <w:rsid w:val="004576B0"/>
    <w:rsid w:val="004579FC"/>
    <w:rsid w:val="004604F3"/>
    <w:rsid w:val="00460896"/>
    <w:rsid w:val="00461E6A"/>
    <w:rsid w:val="00462B69"/>
    <w:rsid w:val="004630C1"/>
    <w:rsid w:val="0046443B"/>
    <w:rsid w:val="0046449D"/>
    <w:rsid w:val="004657DC"/>
    <w:rsid w:val="00471CE7"/>
    <w:rsid w:val="00472406"/>
    <w:rsid w:val="0047377C"/>
    <w:rsid w:val="00475420"/>
    <w:rsid w:val="00475565"/>
    <w:rsid w:val="004760E1"/>
    <w:rsid w:val="004772B0"/>
    <w:rsid w:val="00477CA4"/>
    <w:rsid w:val="00477FDD"/>
    <w:rsid w:val="004808C7"/>
    <w:rsid w:val="00481DD4"/>
    <w:rsid w:val="00481FE7"/>
    <w:rsid w:val="004832A5"/>
    <w:rsid w:val="00484103"/>
    <w:rsid w:val="0048532C"/>
    <w:rsid w:val="00486782"/>
    <w:rsid w:val="00486C2D"/>
    <w:rsid w:val="00487291"/>
    <w:rsid w:val="00487495"/>
    <w:rsid w:val="004879D4"/>
    <w:rsid w:val="00490CEF"/>
    <w:rsid w:val="0049103F"/>
    <w:rsid w:val="00493584"/>
    <w:rsid w:val="00494041"/>
    <w:rsid w:val="00495D0D"/>
    <w:rsid w:val="004A0DFE"/>
    <w:rsid w:val="004A1844"/>
    <w:rsid w:val="004A1BCE"/>
    <w:rsid w:val="004A1C62"/>
    <w:rsid w:val="004A31FE"/>
    <w:rsid w:val="004A3C62"/>
    <w:rsid w:val="004A3F4E"/>
    <w:rsid w:val="004A57FC"/>
    <w:rsid w:val="004B24E2"/>
    <w:rsid w:val="004B4C7A"/>
    <w:rsid w:val="004B6386"/>
    <w:rsid w:val="004B6A2B"/>
    <w:rsid w:val="004B6B43"/>
    <w:rsid w:val="004B7286"/>
    <w:rsid w:val="004B7666"/>
    <w:rsid w:val="004B7B7C"/>
    <w:rsid w:val="004C0971"/>
    <w:rsid w:val="004C0C25"/>
    <w:rsid w:val="004C0CE9"/>
    <w:rsid w:val="004C1ADF"/>
    <w:rsid w:val="004C1E2B"/>
    <w:rsid w:val="004C2111"/>
    <w:rsid w:val="004C235D"/>
    <w:rsid w:val="004C3C92"/>
    <w:rsid w:val="004C5CAD"/>
    <w:rsid w:val="004C6034"/>
    <w:rsid w:val="004C732E"/>
    <w:rsid w:val="004C77BF"/>
    <w:rsid w:val="004D1EDF"/>
    <w:rsid w:val="004D2047"/>
    <w:rsid w:val="004D20AE"/>
    <w:rsid w:val="004D2796"/>
    <w:rsid w:val="004D28EA"/>
    <w:rsid w:val="004D3578"/>
    <w:rsid w:val="004D3AAE"/>
    <w:rsid w:val="004D531F"/>
    <w:rsid w:val="004D62F5"/>
    <w:rsid w:val="004D734F"/>
    <w:rsid w:val="004E0FCB"/>
    <w:rsid w:val="004E1169"/>
    <w:rsid w:val="004E16D6"/>
    <w:rsid w:val="004E5ED3"/>
    <w:rsid w:val="004E5F91"/>
    <w:rsid w:val="004E6A57"/>
    <w:rsid w:val="004E7191"/>
    <w:rsid w:val="004E7DA8"/>
    <w:rsid w:val="004F1648"/>
    <w:rsid w:val="004F1A16"/>
    <w:rsid w:val="004F207F"/>
    <w:rsid w:val="004F3CCA"/>
    <w:rsid w:val="004F5D91"/>
    <w:rsid w:val="004F6291"/>
    <w:rsid w:val="004F76F4"/>
    <w:rsid w:val="004F7A5D"/>
    <w:rsid w:val="004F7ABD"/>
    <w:rsid w:val="00500581"/>
    <w:rsid w:val="00500AA7"/>
    <w:rsid w:val="00500B50"/>
    <w:rsid w:val="00500CC2"/>
    <w:rsid w:val="00500F96"/>
    <w:rsid w:val="005032E5"/>
    <w:rsid w:val="005039EC"/>
    <w:rsid w:val="00504C38"/>
    <w:rsid w:val="005070FA"/>
    <w:rsid w:val="00507354"/>
    <w:rsid w:val="00507D85"/>
    <w:rsid w:val="00510271"/>
    <w:rsid w:val="00511745"/>
    <w:rsid w:val="0051206C"/>
    <w:rsid w:val="005129C3"/>
    <w:rsid w:val="00514B59"/>
    <w:rsid w:val="00515081"/>
    <w:rsid w:val="00515DF4"/>
    <w:rsid w:val="0051677C"/>
    <w:rsid w:val="00517D07"/>
    <w:rsid w:val="005200E4"/>
    <w:rsid w:val="0052186A"/>
    <w:rsid w:val="0052331C"/>
    <w:rsid w:val="00524C76"/>
    <w:rsid w:val="0052521B"/>
    <w:rsid w:val="00525477"/>
    <w:rsid w:val="00525982"/>
    <w:rsid w:val="00525AB3"/>
    <w:rsid w:val="00525F55"/>
    <w:rsid w:val="00526AF5"/>
    <w:rsid w:val="005305E3"/>
    <w:rsid w:val="00530BD9"/>
    <w:rsid w:val="005321DA"/>
    <w:rsid w:val="00532656"/>
    <w:rsid w:val="005341D6"/>
    <w:rsid w:val="005342DE"/>
    <w:rsid w:val="00536333"/>
    <w:rsid w:val="0053651C"/>
    <w:rsid w:val="00537028"/>
    <w:rsid w:val="00540BDB"/>
    <w:rsid w:val="00540D75"/>
    <w:rsid w:val="0054252D"/>
    <w:rsid w:val="00544826"/>
    <w:rsid w:val="005467ED"/>
    <w:rsid w:val="00547541"/>
    <w:rsid w:val="00550933"/>
    <w:rsid w:val="00550A5D"/>
    <w:rsid w:val="00551365"/>
    <w:rsid w:val="0055287C"/>
    <w:rsid w:val="005529A7"/>
    <w:rsid w:val="00554679"/>
    <w:rsid w:val="005553DF"/>
    <w:rsid w:val="00557574"/>
    <w:rsid w:val="005606C2"/>
    <w:rsid w:val="00561884"/>
    <w:rsid w:val="00562120"/>
    <w:rsid w:val="005627FF"/>
    <w:rsid w:val="00562AB6"/>
    <w:rsid w:val="00563FAA"/>
    <w:rsid w:val="005641A9"/>
    <w:rsid w:val="005656FF"/>
    <w:rsid w:val="005662BE"/>
    <w:rsid w:val="00570EF1"/>
    <w:rsid w:val="00571D9A"/>
    <w:rsid w:val="00573AF1"/>
    <w:rsid w:val="00575038"/>
    <w:rsid w:val="0057668B"/>
    <w:rsid w:val="00576F7E"/>
    <w:rsid w:val="0057758D"/>
    <w:rsid w:val="00577D61"/>
    <w:rsid w:val="00577FC1"/>
    <w:rsid w:val="005809D1"/>
    <w:rsid w:val="00581F28"/>
    <w:rsid w:val="005822AC"/>
    <w:rsid w:val="00582BFC"/>
    <w:rsid w:val="00584872"/>
    <w:rsid w:val="00585465"/>
    <w:rsid w:val="00586B55"/>
    <w:rsid w:val="00586C3F"/>
    <w:rsid w:val="005914DE"/>
    <w:rsid w:val="005916E1"/>
    <w:rsid w:val="00591ECF"/>
    <w:rsid w:val="0059262C"/>
    <w:rsid w:val="00592873"/>
    <w:rsid w:val="00593919"/>
    <w:rsid w:val="0059444D"/>
    <w:rsid w:val="00595842"/>
    <w:rsid w:val="00595A02"/>
    <w:rsid w:val="00595B36"/>
    <w:rsid w:val="00596173"/>
    <w:rsid w:val="00596583"/>
    <w:rsid w:val="00596E65"/>
    <w:rsid w:val="005974D7"/>
    <w:rsid w:val="005A09E6"/>
    <w:rsid w:val="005A0A2B"/>
    <w:rsid w:val="005A1905"/>
    <w:rsid w:val="005A3DF4"/>
    <w:rsid w:val="005A72DA"/>
    <w:rsid w:val="005B1C17"/>
    <w:rsid w:val="005B273F"/>
    <w:rsid w:val="005B2E13"/>
    <w:rsid w:val="005B3388"/>
    <w:rsid w:val="005B405A"/>
    <w:rsid w:val="005B4249"/>
    <w:rsid w:val="005B4DB3"/>
    <w:rsid w:val="005B6CF6"/>
    <w:rsid w:val="005C16B9"/>
    <w:rsid w:val="005C1CC0"/>
    <w:rsid w:val="005C2CCB"/>
    <w:rsid w:val="005C2DBE"/>
    <w:rsid w:val="005C314B"/>
    <w:rsid w:val="005C4A16"/>
    <w:rsid w:val="005C5DFF"/>
    <w:rsid w:val="005C6479"/>
    <w:rsid w:val="005C69FD"/>
    <w:rsid w:val="005C706E"/>
    <w:rsid w:val="005D2A6D"/>
    <w:rsid w:val="005D2F0A"/>
    <w:rsid w:val="005D3377"/>
    <w:rsid w:val="005D350D"/>
    <w:rsid w:val="005D3B9C"/>
    <w:rsid w:val="005D4EE0"/>
    <w:rsid w:val="005D5EC0"/>
    <w:rsid w:val="005D6C1F"/>
    <w:rsid w:val="005D7025"/>
    <w:rsid w:val="005D7277"/>
    <w:rsid w:val="005D72BB"/>
    <w:rsid w:val="005E0275"/>
    <w:rsid w:val="005E21F6"/>
    <w:rsid w:val="005E2BCF"/>
    <w:rsid w:val="005E2D67"/>
    <w:rsid w:val="005E3830"/>
    <w:rsid w:val="005E3DE2"/>
    <w:rsid w:val="005E4772"/>
    <w:rsid w:val="005E5049"/>
    <w:rsid w:val="005E5578"/>
    <w:rsid w:val="005E5E14"/>
    <w:rsid w:val="005E7ED7"/>
    <w:rsid w:val="005F4D62"/>
    <w:rsid w:val="005F5B2F"/>
    <w:rsid w:val="005F5B39"/>
    <w:rsid w:val="005F66C9"/>
    <w:rsid w:val="005F6A2F"/>
    <w:rsid w:val="005F6AF7"/>
    <w:rsid w:val="00600DD9"/>
    <w:rsid w:val="00601A63"/>
    <w:rsid w:val="0060295A"/>
    <w:rsid w:val="00605C5B"/>
    <w:rsid w:val="00605F22"/>
    <w:rsid w:val="00606085"/>
    <w:rsid w:val="00606FF5"/>
    <w:rsid w:val="0061084B"/>
    <w:rsid w:val="00610ED7"/>
    <w:rsid w:val="00611244"/>
    <w:rsid w:val="006117C1"/>
    <w:rsid w:val="00611C05"/>
    <w:rsid w:val="006133BE"/>
    <w:rsid w:val="00616614"/>
    <w:rsid w:val="006171A2"/>
    <w:rsid w:val="00617739"/>
    <w:rsid w:val="00620864"/>
    <w:rsid w:val="00620CE3"/>
    <w:rsid w:val="00621086"/>
    <w:rsid w:val="00621FFF"/>
    <w:rsid w:val="00624564"/>
    <w:rsid w:val="006249FD"/>
    <w:rsid w:val="00625690"/>
    <w:rsid w:val="00626DC7"/>
    <w:rsid w:val="00626F05"/>
    <w:rsid w:val="00630468"/>
    <w:rsid w:val="00633BD2"/>
    <w:rsid w:val="006354F2"/>
    <w:rsid w:val="00636091"/>
    <w:rsid w:val="006365A1"/>
    <w:rsid w:val="00636AA2"/>
    <w:rsid w:val="00636B8F"/>
    <w:rsid w:val="00640D2A"/>
    <w:rsid w:val="00644FE3"/>
    <w:rsid w:val="00646C70"/>
    <w:rsid w:val="00650AFE"/>
    <w:rsid w:val="00652778"/>
    <w:rsid w:val="00653326"/>
    <w:rsid w:val="00653D14"/>
    <w:rsid w:val="0065434B"/>
    <w:rsid w:val="0065620A"/>
    <w:rsid w:val="006567A8"/>
    <w:rsid w:val="00656AE2"/>
    <w:rsid w:val="00657811"/>
    <w:rsid w:val="00661A34"/>
    <w:rsid w:val="00661AAB"/>
    <w:rsid w:val="00662037"/>
    <w:rsid w:val="00662BEA"/>
    <w:rsid w:val="00662D67"/>
    <w:rsid w:val="00664905"/>
    <w:rsid w:val="00664A30"/>
    <w:rsid w:val="00665600"/>
    <w:rsid w:val="006666B6"/>
    <w:rsid w:val="00666764"/>
    <w:rsid w:val="006667EE"/>
    <w:rsid w:val="0066683E"/>
    <w:rsid w:val="0066694B"/>
    <w:rsid w:val="00666BFF"/>
    <w:rsid w:val="00666E88"/>
    <w:rsid w:val="00667DB6"/>
    <w:rsid w:val="00670395"/>
    <w:rsid w:val="00671606"/>
    <w:rsid w:val="00671BEA"/>
    <w:rsid w:val="00672593"/>
    <w:rsid w:val="00673BFC"/>
    <w:rsid w:val="006746EA"/>
    <w:rsid w:val="006760B5"/>
    <w:rsid w:val="0067620B"/>
    <w:rsid w:val="00676E3E"/>
    <w:rsid w:val="006771E8"/>
    <w:rsid w:val="00677C01"/>
    <w:rsid w:val="00677C93"/>
    <w:rsid w:val="0068143D"/>
    <w:rsid w:val="00682D66"/>
    <w:rsid w:val="006832E0"/>
    <w:rsid w:val="00683724"/>
    <w:rsid w:val="00683760"/>
    <w:rsid w:val="00683CC7"/>
    <w:rsid w:val="006841E2"/>
    <w:rsid w:val="00684869"/>
    <w:rsid w:val="0068597A"/>
    <w:rsid w:val="00685A5F"/>
    <w:rsid w:val="00686A59"/>
    <w:rsid w:val="00690E73"/>
    <w:rsid w:val="00692C6E"/>
    <w:rsid w:val="00692CA5"/>
    <w:rsid w:val="00692DE7"/>
    <w:rsid w:val="006932D7"/>
    <w:rsid w:val="00694315"/>
    <w:rsid w:val="00695B13"/>
    <w:rsid w:val="006969C9"/>
    <w:rsid w:val="00696B16"/>
    <w:rsid w:val="00696F4C"/>
    <w:rsid w:val="00697FC7"/>
    <w:rsid w:val="006A0C3F"/>
    <w:rsid w:val="006A0E2F"/>
    <w:rsid w:val="006A3D23"/>
    <w:rsid w:val="006A478A"/>
    <w:rsid w:val="006A7B49"/>
    <w:rsid w:val="006A7DC8"/>
    <w:rsid w:val="006A7EEA"/>
    <w:rsid w:val="006B06A2"/>
    <w:rsid w:val="006B1540"/>
    <w:rsid w:val="006B1AE4"/>
    <w:rsid w:val="006B3115"/>
    <w:rsid w:val="006B31C8"/>
    <w:rsid w:val="006B43E2"/>
    <w:rsid w:val="006B4A46"/>
    <w:rsid w:val="006B4F2A"/>
    <w:rsid w:val="006B73D1"/>
    <w:rsid w:val="006B7757"/>
    <w:rsid w:val="006B78A0"/>
    <w:rsid w:val="006C3D37"/>
    <w:rsid w:val="006C4979"/>
    <w:rsid w:val="006C5F18"/>
    <w:rsid w:val="006C6376"/>
    <w:rsid w:val="006D2851"/>
    <w:rsid w:val="006D4DBF"/>
    <w:rsid w:val="006D4FAB"/>
    <w:rsid w:val="006D4FE8"/>
    <w:rsid w:val="006D55F3"/>
    <w:rsid w:val="006D5915"/>
    <w:rsid w:val="006D5B1B"/>
    <w:rsid w:val="006D5FE9"/>
    <w:rsid w:val="006D6B57"/>
    <w:rsid w:val="006D6FF5"/>
    <w:rsid w:val="006D71D1"/>
    <w:rsid w:val="006D7776"/>
    <w:rsid w:val="006E13E3"/>
    <w:rsid w:val="006E2BB9"/>
    <w:rsid w:val="006E2E34"/>
    <w:rsid w:val="006E2F31"/>
    <w:rsid w:val="006E3239"/>
    <w:rsid w:val="006E5393"/>
    <w:rsid w:val="006E5586"/>
    <w:rsid w:val="006E660F"/>
    <w:rsid w:val="006F01FA"/>
    <w:rsid w:val="006F040D"/>
    <w:rsid w:val="006F0CCC"/>
    <w:rsid w:val="006F0DDC"/>
    <w:rsid w:val="006F0FE5"/>
    <w:rsid w:val="006F1403"/>
    <w:rsid w:val="006F1B19"/>
    <w:rsid w:val="006F2476"/>
    <w:rsid w:val="006F29ED"/>
    <w:rsid w:val="006F2ABA"/>
    <w:rsid w:val="006F3D91"/>
    <w:rsid w:val="006F4F77"/>
    <w:rsid w:val="006F5026"/>
    <w:rsid w:val="006F5321"/>
    <w:rsid w:val="006F57AE"/>
    <w:rsid w:val="006F776A"/>
    <w:rsid w:val="006F7B39"/>
    <w:rsid w:val="00700A13"/>
    <w:rsid w:val="00701239"/>
    <w:rsid w:val="0070147C"/>
    <w:rsid w:val="00701935"/>
    <w:rsid w:val="00702AA4"/>
    <w:rsid w:val="00702E35"/>
    <w:rsid w:val="0070366C"/>
    <w:rsid w:val="007046F2"/>
    <w:rsid w:val="00704AFA"/>
    <w:rsid w:val="00705D4D"/>
    <w:rsid w:val="007070DD"/>
    <w:rsid w:val="00707E29"/>
    <w:rsid w:val="007102B1"/>
    <w:rsid w:val="00711D98"/>
    <w:rsid w:val="00712C37"/>
    <w:rsid w:val="00713810"/>
    <w:rsid w:val="007138C7"/>
    <w:rsid w:val="00714E17"/>
    <w:rsid w:val="00714FD6"/>
    <w:rsid w:val="00716F8F"/>
    <w:rsid w:val="00717525"/>
    <w:rsid w:val="00717F12"/>
    <w:rsid w:val="00720087"/>
    <w:rsid w:val="007216E1"/>
    <w:rsid w:val="00723550"/>
    <w:rsid w:val="00725494"/>
    <w:rsid w:val="007265F7"/>
    <w:rsid w:val="0072731E"/>
    <w:rsid w:val="00727A85"/>
    <w:rsid w:val="00731894"/>
    <w:rsid w:val="00732822"/>
    <w:rsid w:val="00734D83"/>
    <w:rsid w:val="00737685"/>
    <w:rsid w:val="00740D93"/>
    <w:rsid w:val="00741E55"/>
    <w:rsid w:val="00742826"/>
    <w:rsid w:val="00744E6A"/>
    <w:rsid w:val="00745BAE"/>
    <w:rsid w:val="00746796"/>
    <w:rsid w:val="00746D91"/>
    <w:rsid w:val="007472A1"/>
    <w:rsid w:val="00747DFC"/>
    <w:rsid w:val="0075014D"/>
    <w:rsid w:val="00751079"/>
    <w:rsid w:val="00751080"/>
    <w:rsid w:val="0075214C"/>
    <w:rsid w:val="00752295"/>
    <w:rsid w:val="00752F91"/>
    <w:rsid w:val="0075316E"/>
    <w:rsid w:val="0075341E"/>
    <w:rsid w:val="00755733"/>
    <w:rsid w:val="0075598A"/>
    <w:rsid w:val="007568DA"/>
    <w:rsid w:val="0076017E"/>
    <w:rsid w:val="00760A1C"/>
    <w:rsid w:val="00761813"/>
    <w:rsid w:val="00761DDE"/>
    <w:rsid w:val="00761E69"/>
    <w:rsid w:val="00762BD5"/>
    <w:rsid w:val="00763A74"/>
    <w:rsid w:val="007646F0"/>
    <w:rsid w:val="00766BC0"/>
    <w:rsid w:val="00766F8A"/>
    <w:rsid w:val="00767925"/>
    <w:rsid w:val="00770936"/>
    <w:rsid w:val="00770A5C"/>
    <w:rsid w:val="00771B85"/>
    <w:rsid w:val="00772459"/>
    <w:rsid w:val="00772E15"/>
    <w:rsid w:val="00773A46"/>
    <w:rsid w:val="00775DA6"/>
    <w:rsid w:val="00775FED"/>
    <w:rsid w:val="00776A65"/>
    <w:rsid w:val="00777216"/>
    <w:rsid w:val="0078170A"/>
    <w:rsid w:val="00782D26"/>
    <w:rsid w:val="007871AE"/>
    <w:rsid w:val="00787363"/>
    <w:rsid w:val="007904CF"/>
    <w:rsid w:val="00790956"/>
    <w:rsid w:val="00791F3E"/>
    <w:rsid w:val="0079502D"/>
    <w:rsid w:val="007A0755"/>
    <w:rsid w:val="007A1531"/>
    <w:rsid w:val="007A31D9"/>
    <w:rsid w:val="007A42D8"/>
    <w:rsid w:val="007A441A"/>
    <w:rsid w:val="007A4E6E"/>
    <w:rsid w:val="007A5793"/>
    <w:rsid w:val="007A74F9"/>
    <w:rsid w:val="007A7AE9"/>
    <w:rsid w:val="007B0D44"/>
    <w:rsid w:val="007B338E"/>
    <w:rsid w:val="007B3A65"/>
    <w:rsid w:val="007B4B1A"/>
    <w:rsid w:val="007B57E0"/>
    <w:rsid w:val="007B6011"/>
    <w:rsid w:val="007B6332"/>
    <w:rsid w:val="007B76C0"/>
    <w:rsid w:val="007C101B"/>
    <w:rsid w:val="007C2EF3"/>
    <w:rsid w:val="007D1349"/>
    <w:rsid w:val="007D13D8"/>
    <w:rsid w:val="007D23E2"/>
    <w:rsid w:val="007D3971"/>
    <w:rsid w:val="007D3F2D"/>
    <w:rsid w:val="007D41A1"/>
    <w:rsid w:val="007D4406"/>
    <w:rsid w:val="007D736A"/>
    <w:rsid w:val="007D7381"/>
    <w:rsid w:val="007D7D99"/>
    <w:rsid w:val="007D7E9C"/>
    <w:rsid w:val="007E1413"/>
    <w:rsid w:val="007E1F40"/>
    <w:rsid w:val="007E1FB9"/>
    <w:rsid w:val="007E3FFF"/>
    <w:rsid w:val="007E4387"/>
    <w:rsid w:val="007E545E"/>
    <w:rsid w:val="007F0217"/>
    <w:rsid w:val="007F0E91"/>
    <w:rsid w:val="007F1266"/>
    <w:rsid w:val="007F1AA2"/>
    <w:rsid w:val="007F49E5"/>
    <w:rsid w:val="007F78BC"/>
    <w:rsid w:val="0080009D"/>
    <w:rsid w:val="008014F9"/>
    <w:rsid w:val="008033D0"/>
    <w:rsid w:val="00803FB6"/>
    <w:rsid w:val="00804223"/>
    <w:rsid w:val="00804952"/>
    <w:rsid w:val="008059EF"/>
    <w:rsid w:val="00805C2E"/>
    <w:rsid w:val="00807106"/>
    <w:rsid w:val="00807E60"/>
    <w:rsid w:val="0081269E"/>
    <w:rsid w:val="008128F7"/>
    <w:rsid w:val="00812938"/>
    <w:rsid w:val="00813FE2"/>
    <w:rsid w:val="0081498B"/>
    <w:rsid w:val="00814B94"/>
    <w:rsid w:val="00815AE6"/>
    <w:rsid w:val="00815B29"/>
    <w:rsid w:val="00815F00"/>
    <w:rsid w:val="0081698A"/>
    <w:rsid w:val="00817652"/>
    <w:rsid w:val="00817C01"/>
    <w:rsid w:val="008212DB"/>
    <w:rsid w:val="00821663"/>
    <w:rsid w:val="00821F95"/>
    <w:rsid w:val="00822700"/>
    <w:rsid w:val="0082352F"/>
    <w:rsid w:val="00823A21"/>
    <w:rsid w:val="008248FF"/>
    <w:rsid w:val="00825712"/>
    <w:rsid w:val="008262B0"/>
    <w:rsid w:val="008263C4"/>
    <w:rsid w:val="00826A0D"/>
    <w:rsid w:val="00826D8E"/>
    <w:rsid w:val="00827B71"/>
    <w:rsid w:val="008303F4"/>
    <w:rsid w:val="00830DAC"/>
    <w:rsid w:val="0083134C"/>
    <w:rsid w:val="008322C7"/>
    <w:rsid w:val="008323BD"/>
    <w:rsid w:val="00832F51"/>
    <w:rsid w:val="008335CB"/>
    <w:rsid w:val="00833D85"/>
    <w:rsid w:val="00834852"/>
    <w:rsid w:val="008363E9"/>
    <w:rsid w:val="008376C3"/>
    <w:rsid w:val="00837CB9"/>
    <w:rsid w:val="00842915"/>
    <w:rsid w:val="00843100"/>
    <w:rsid w:val="0084433E"/>
    <w:rsid w:val="00844443"/>
    <w:rsid w:val="008449B7"/>
    <w:rsid w:val="00847054"/>
    <w:rsid w:val="00847ED6"/>
    <w:rsid w:val="00847FE8"/>
    <w:rsid w:val="00850F25"/>
    <w:rsid w:val="00851F96"/>
    <w:rsid w:val="0085259F"/>
    <w:rsid w:val="0085298F"/>
    <w:rsid w:val="00852D46"/>
    <w:rsid w:val="00853016"/>
    <w:rsid w:val="008534AA"/>
    <w:rsid w:val="00856AB7"/>
    <w:rsid w:val="00856B3B"/>
    <w:rsid w:val="0086054D"/>
    <w:rsid w:val="00861F41"/>
    <w:rsid w:val="00862340"/>
    <w:rsid w:val="00862DEE"/>
    <w:rsid w:val="00862E26"/>
    <w:rsid w:val="0086376F"/>
    <w:rsid w:val="00864F21"/>
    <w:rsid w:val="00865805"/>
    <w:rsid w:val="0086657E"/>
    <w:rsid w:val="00867009"/>
    <w:rsid w:val="0086734A"/>
    <w:rsid w:val="008719C2"/>
    <w:rsid w:val="00871C3A"/>
    <w:rsid w:val="008730E2"/>
    <w:rsid w:val="008738E1"/>
    <w:rsid w:val="00874964"/>
    <w:rsid w:val="00875877"/>
    <w:rsid w:val="008772DC"/>
    <w:rsid w:val="008774A1"/>
    <w:rsid w:val="00877B19"/>
    <w:rsid w:val="00877E6A"/>
    <w:rsid w:val="00880069"/>
    <w:rsid w:val="00880CB8"/>
    <w:rsid w:val="00881170"/>
    <w:rsid w:val="0088429E"/>
    <w:rsid w:val="00884FF7"/>
    <w:rsid w:val="00887688"/>
    <w:rsid w:val="00887A05"/>
    <w:rsid w:val="0089075E"/>
    <w:rsid w:val="008918DE"/>
    <w:rsid w:val="0089449C"/>
    <w:rsid w:val="00894ACE"/>
    <w:rsid w:val="00896C3B"/>
    <w:rsid w:val="008A2C85"/>
    <w:rsid w:val="008A30F0"/>
    <w:rsid w:val="008A37DA"/>
    <w:rsid w:val="008A6265"/>
    <w:rsid w:val="008A692C"/>
    <w:rsid w:val="008A6AEB"/>
    <w:rsid w:val="008A76D9"/>
    <w:rsid w:val="008B19D9"/>
    <w:rsid w:val="008B1FD3"/>
    <w:rsid w:val="008B204B"/>
    <w:rsid w:val="008B2C9A"/>
    <w:rsid w:val="008B2E4F"/>
    <w:rsid w:val="008B38F9"/>
    <w:rsid w:val="008B4E87"/>
    <w:rsid w:val="008B5544"/>
    <w:rsid w:val="008B5720"/>
    <w:rsid w:val="008B70FE"/>
    <w:rsid w:val="008C05AB"/>
    <w:rsid w:val="008C0A85"/>
    <w:rsid w:val="008C3DA2"/>
    <w:rsid w:val="008C3EDB"/>
    <w:rsid w:val="008C49AE"/>
    <w:rsid w:val="008C4C8F"/>
    <w:rsid w:val="008C59F7"/>
    <w:rsid w:val="008C7E6D"/>
    <w:rsid w:val="008C7F25"/>
    <w:rsid w:val="008D091F"/>
    <w:rsid w:val="008D0B5E"/>
    <w:rsid w:val="008D258B"/>
    <w:rsid w:val="008D4BBF"/>
    <w:rsid w:val="008D4CB3"/>
    <w:rsid w:val="008D6121"/>
    <w:rsid w:val="008D64CA"/>
    <w:rsid w:val="008D72DD"/>
    <w:rsid w:val="008E08BD"/>
    <w:rsid w:val="008E1535"/>
    <w:rsid w:val="008E1628"/>
    <w:rsid w:val="008E43C5"/>
    <w:rsid w:val="008E65B9"/>
    <w:rsid w:val="008E6DAC"/>
    <w:rsid w:val="008E7687"/>
    <w:rsid w:val="008E7707"/>
    <w:rsid w:val="008E796A"/>
    <w:rsid w:val="008E7E6F"/>
    <w:rsid w:val="008F0029"/>
    <w:rsid w:val="008F0E3C"/>
    <w:rsid w:val="008F11FA"/>
    <w:rsid w:val="008F1C9F"/>
    <w:rsid w:val="008F2185"/>
    <w:rsid w:val="008F25DA"/>
    <w:rsid w:val="008F33AE"/>
    <w:rsid w:val="008F3594"/>
    <w:rsid w:val="008F3643"/>
    <w:rsid w:val="008F4ACA"/>
    <w:rsid w:val="008F4FEE"/>
    <w:rsid w:val="008F6545"/>
    <w:rsid w:val="008F75A9"/>
    <w:rsid w:val="008F78B2"/>
    <w:rsid w:val="0090202B"/>
    <w:rsid w:val="0090233A"/>
    <w:rsid w:val="0090310A"/>
    <w:rsid w:val="00903602"/>
    <w:rsid w:val="0090622F"/>
    <w:rsid w:val="0090648A"/>
    <w:rsid w:val="00906747"/>
    <w:rsid w:val="00906D64"/>
    <w:rsid w:val="00907018"/>
    <w:rsid w:val="0091108A"/>
    <w:rsid w:val="00912F98"/>
    <w:rsid w:val="00913012"/>
    <w:rsid w:val="00913F52"/>
    <w:rsid w:val="009159A0"/>
    <w:rsid w:val="0091611B"/>
    <w:rsid w:val="00917103"/>
    <w:rsid w:val="0091712C"/>
    <w:rsid w:val="00917297"/>
    <w:rsid w:val="00917B70"/>
    <w:rsid w:val="00917FBB"/>
    <w:rsid w:val="0092035A"/>
    <w:rsid w:val="00920849"/>
    <w:rsid w:val="00921931"/>
    <w:rsid w:val="009219CA"/>
    <w:rsid w:val="009221D2"/>
    <w:rsid w:val="009223D3"/>
    <w:rsid w:val="009227C6"/>
    <w:rsid w:val="00922E5A"/>
    <w:rsid w:val="00922F2A"/>
    <w:rsid w:val="00923140"/>
    <w:rsid w:val="009232B8"/>
    <w:rsid w:val="00923677"/>
    <w:rsid w:val="00923C06"/>
    <w:rsid w:val="00925F8A"/>
    <w:rsid w:val="00926622"/>
    <w:rsid w:val="00926B19"/>
    <w:rsid w:val="00926C9B"/>
    <w:rsid w:val="00930750"/>
    <w:rsid w:val="00931D7A"/>
    <w:rsid w:val="009327D0"/>
    <w:rsid w:val="00933FAA"/>
    <w:rsid w:val="00934733"/>
    <w:rsid w:val="00935D8D"/>
    <w:rsid w:val="00936211"/>
    <w:rsid w:val="00936FEE"/>
    <w:rsid w:val="00937008"/>
    <w:rsid w:val="00940574"/>
    <w:rsid w:val="00940D2D"/>
    <w:rsid w:val="00942DEB"/>
    <w:rsid w:val="00942FE8"/>
    <w:rsid w:val="00942FFC"/>
    <w:rsid w:val="009444E3"/>
    <w:rsid w:val="009458F8"/>
    <w:rsid w:val="009463A4"/>
    <w:rsid w:val="00946A0D"/>
    <w:rsid w:val="009479E1"/>
    <w:rsid w:val="00947E7E"/>
    <w:rsid w:val="00950CAD"/>
    <w:rsid w:val="009546F8"/>
    <w:rsid w:val="00955014"/>
    <w:rsid w:val="00956D02"/>
    <w:rsid w:val="00957E70"/>
    <w:rsid w:val="00957F2C"/>
    <w:rsid w:val="00957F8F"/>
    <w:rsid w:val="00960C11"/>
    <w:rsid w:val="009638B8"/>
    <w:rsid w:val="009648B4"/>
    <w:rsid w:val="00966297"/>
    <w:rsid w:val="009662EB"/>
    <w:rsid w:val="00967088"/>
    <w:rsid w:val="00967820"/>
    <w:rsid w:val="009679A1"/>
    <w:rsid w:val="00970AC2"/>
    <w:rsid w:val="00970DAB"/>
    <w:rsid w:val="00971F0A"/>
    <w:rsid w:val="0097321D"/>
    <w:rsid w:val="009736F8"/>
    <w:rsid w:val="009755DC"/>
    <w:rsid w:val="00975B9A"/>
    <w:rsid w:val="00976490"/>
    <w:rsid w:val="00976D20"/>
    <w:rsid w:val="009802BA"/>
    <w:rsid w:val="00980FE3"/>
    <w:rsid w:val="00982443"/>
    <w:rsid w:val="00984F3F"/>
    <w:rsid w:val="0098585E"/>
    <w:rsid w:val="00985F56"/>
    <w:rsid w:val="009869FE"/>
    <w:rsid w:val="00986DBC"/>
    <w:rsid w:val="0099024E"/>
    <w:rsid w:val="00990BB1"/>
    <w:rsid w:val="00992531"/>
    <w:rsid w:val="009934FE"/>
    <w:rsid w:val="00994500"/>
    <w:rsid w:val="009948FF"/>
    <w:rsid w:val="00995303"/>
    <w:rsid w:val="009959EA"/>
    <w:rsid w:val="00995CD5"/>
    <w:rsid w:val="009A043C"/>
    <w:rsid w:val="009A06F0"/>
    <w:rsid w:val="009A144C"/>
    <w:rsid w:val="009A1787"/>
    <w:rsid w:val="009A1DB1"/>
    <w:rsid w:val="009A378F"/>
    <w:rsid w:val="009A4F5A"/>
    <w:rsid w:val="009A55AF"/>
    <w:rsid w:val="009A62A6"/>
    <w:rsid w:val="009A6A92"/>
    <w:rsid w:val="009A7F4D"/>
    <w:rsid w:val="009B1119"/>
    <w:rsid w:val="009B1F44"/>
    <w:rsid w:val="009B2C96"/>
    <w:rsid w:val="009B4573"/>
    <w:rsid w:val="009B4B02"/>
    <w:rsid w:val="009B67B2"/>
    <w:rsid w:val="009B74D6"/>
    <w:rsid w:val="009B7AE6"/>
    <w:rsid w:val="009C002A"/>
    <w:rsid w:val="009C012A"/>
    <w:rsid w:val="009C0146"/>
    <w:rsid w:val="009C1809"/>
    <w:rsid w:val="009C1AD7"/>
    <w:rsid w:val="009C3458"/>
    <w:rsid w:val="009C3FC3"/>
    <w:rsid w:val="009C41D9"/>
    <w:rsid w:val="009C65CC"/>
    <w:rsid w:val="009C6C43"/>
    <w:rsid w:val="009C7233"/>
    <w:rsid w:val="009D05A6"/>
    <w:rsid w:val="009D06AB"/>
    <w:rsid w:val="009D0C80"/>
    <w:rsid w:val="009D3C9E"/>
    <w:rsid w:val="009D5EA5"/>
    <w:rsid w:val="009E115D"/>
    <w:rsid w:val="009E278C"/>
    <w:rsid w:val="009E43D1"/>
    <w:rsid w:val="009E4B5F"/>
    <w:rsid w:val="009E662B"/>
    <w:rsid w:val="009F3BC5"/>
    <w:rsid w:val="009F4A70"/>
    <w:rsid w:val="009F598B"/>
    <w:rsid w:val="009F5A15"/>
    <w:rsid w:val="009F628A"/>
    <w:rsid w:val="009F645B"/>
    <w:rsid w:val="009F6EDC"/>
    <w:rsid w:val="009F7BAC"/>
    <w:rsid w:val="00A02823"/>
    <w:rsid w:val="00A035CE"/>
    <w:rsid w:val="00A03698"/>
    <w:rsid w:val="00A04046"/>
    <w:rsid w:val="00A0425D"/>
    <w:rsid w:val="00A049C1"/>
    <w:rsid w:val="00A050FE"/>
    <w:rsid w:val="00A0537F"/>
    <w:rsid w:val="00A0602E"/>
    <w:rsid w:val="00A066F9"/>
    <w:rsid w:val="00A068B8"/>
    <w:rsid w:val="00A0690B"/>
    <w:rsid w:val="00A06C1F"/>
    <w:rsid w:val="00A07FFA"/>
    <w:rsid w:val="00A1157E"/>
    <w:rsid w:val="00A11FB4"/>
    <w:rsid w:val="00A1327A"/>
    <w:rsid w:val="00A1550B"/>
    <w:rsid w:val="00A1551D"/>
    <w:rsid w:val="00A166F8"/>
    <w:rsid w:val="00A16AA0"/>
    <w:rsid w:val="00A16F30"/>
    <w:rsid w:val="00A17769"/>
    <w:rsid w:val="00A17D2A"/>
    <w:rsid w:val="00A20CEF"/>
    <w:rsid w:val="00A20E0F"/>
    <w:rsid w:val="00A22C1A"/>
    <w:rsid w:val="00A2405C"/>
    <w:rsid w:val="00A24CD2"/>
    <w:rsid w:val="00A273CC"/>
    <w:rsid w:val="00A27739"/>
    <w:rsid w:val="00A3024A"/>
    <w:rsid w:val="00A31425"/>
    <w:rsid w:val="00A33BEE"/>
    <w:rsid w:val="00A34250"/>
    <w:rsid w:val="00A35782"/>
    <w:rsid w:val="00A3580E"/>
    <w:rsid w:val="00A35D30"/>
    <w:rsid w:val="00A362F9"/>
    <w:rsid w:val="00A36628"/>
    <w:rsid w:val="00A36EB1"/>
    <w:rsid w:val="00A40222"/>
    <w:rsid w:val="00A41DB7"/>
    <w:rsid w:val="00A4235B"/>
    <w:rsid w:val="00A43EE6"/>
    <w:rsid w:val="00A46501"/>
    <w:rsid w:val="00A47B91"/>
    <w:rsid w:val="00A5096B"/>
    <w:rsid w:val="00A50C00"/>
    <w:rsid w:val="00A52017"/>
    <w:rsid w:val="00A52F25"/>
    <w:rsid w:val="00A53D08"/>
    <w:rsid w:val="00A54862"/>
    <w:rsid w:val="00A558FE"/>
    <w:rsid w:val="00A55E42"/>
    <w:rsid w:val="00A569E3"/>
    <w:rsid w:val="00A60F49"/>
    <w:rsid w:val="00A61D5F"/>
    <w:rsid w:val="00A61E15"/>
    <w:rsid w:val="00A62B3D"/>
    <w:rsid w:val="00A62F26"/>
    <w:rsid w:val="00A62F85"/>
    <w:rsid w:val="00A6495A"/>
    <w:rsid w:val="00A66500"/>
    <w:rsid w:val="00A66E5E"/>
    <w:rsid w:val="00A66F91"/>
    <w:rsid w:val="00A70229"/>
    <w:rsid w:val="00A70773"/>
    <w:rsid w:val="00A71081"/>
    <w:rsid w:val="00A71A6D"/>
    <w:rsid w:val="00A73576"/>
    <w:rsid w:val="00A73D2C"/>
    <w:rsid w:val="00A76646"/>
    <w:rsid w:val="00A77FB9"/>
    <w:rsid w:val="00A80B00"/>
    <w:rsid w:val="00A83396"/>
    <w:rsid w:val="00A83A20"/>
    <w:rsid w:val="00A83F49"/>
    <w:rsid w:val="00A860A0"/>
    <w:rsid w:val="00A86642"/>
    <w:rsid w:val="00A9005B"/>
    <w:rsid w:val="00A91165"/>
    <w:rsid w:val="00A918D1"/>
    <w:rsid w:val="00A93762"/>
    <w:rsid w:val="00A93A9A"/>
    <w:rsid w:val="00A953D0"/>
    <w:rsid w:val="00A95533"/>
    <w:rsid w:val="00A96673"/>
    <w:rsid w:val="00A96BB8"/>
    <w:rsid w:val="00AA311B"/>
    <w:rsid w:val="00AA3455"/>
    <w:rsid w:val="00AA3AB9"/>
    <w:rsid w:val="00AA41D4"/>
    <w:rsid w:val="00AA5C16"/>
    <w:rsid w:val="00AA5C51"/>
    <w:rsid w:val="00AA6359"/>
    <w:rsid w:val="00AA7A58"/>
    <w:rsid w:val="00AA7F6C"/>
    <w:rsid w:val="00AB1044"/>
    <w:rsid w:val="00AB1CE1"/>
    <w:rsid w:val="00AB21B8"/>
    <w:rsid w:val="00AB29AC"/>
    <w:rsid w:val="00AB3DD5"/>
    <w:rsid w:val="00AB7B71"/>
    <w:rsid w:val="00AB7E67"/>
    <w:rsid w:val="00AC0471"/>
    <w:rsid w:val="00AC2D3D"/>
    <w:rsid w:val="00AC31D4"/>
    <w:rsid w:val="00AC4A98"/>
    <w:rsid w:val="00AC6098"/>
    <w:rsid w:val="00AC666F"/>
    <w:rsid w:val="00AC7220"/>
    <w:rsid w:val="00AC7F9E"/>
    <w:rsid w:val="00AD08E6"/>
    <w:rsid w:val="00AD1545"/>
    <w:rsid w:val="00AD2C32"/>
    <w:rsid w:val="00AD2F08"/>
    <w:rsid w:val="00AD306A"/>
    <w:rsid w:val="00AD3B26"/>
    <w:rsid w:val="00AD3C1D"/>
    <w:rsid w:val="00AD4B38"/>
    <w:rsid w:val="00AD601F"/>
    <w:rsid w:val="00AE0190"/>
    <w:rsid w:val="00AE14D4"/>
    <w:rsid w:val="00AE236C"/>
    <w:rsid w:val="00AE2BF6"/>
    <w:rsid w:val="00AE2F96"/>
    <w:rsid w:val="00AE3370"/>
    <w:rsid w:val="00AE35E3"/>
    <w:rsid w:val="00AE4251"/>
    <w:rsid w:val="00AE4791"/>
    <w:rsid w:val="00AE5E0A"/>
    <w:rsid w:val="00AE64CA"/>
    <w:rsid w:val="00AF1138"/>
    <w:rsid w:val="00AF17C5"/>
    <w:rsid w:val="00AF20E6"/>
    <w:rsid w:val="00AF369A"/>
    <w:rsid w:val="00AF7092"/>
    <w:rsid w:val="00AF743D"/>
    <w:rsid w:val="00AF79F7"/>
    <w:rsid w:val="00B00C8C"/>
    <w:rsid w:val="00B01313"/>
    <w:rsid w:val="00B0205C"/>
    <w:rsid w:val="00B0277A"/>
    <w:rsid w:val="00B02869"/>
    <w:rsid w:val="00B02DB2"/>
    <w:rsid w:val="00B0402C"/>
    <w:rsid w:val="00B067B9"/>
    <w:rsid w:val="00B068A5"/>
    <w:rsid w:val="00B06C8A"/>
    <w:rsid w:val="00B107FE"/>
    <w:rsid w:val="00B111B3"/>
    <w:rsid w:val="00B126FA"/>
    <w:rsid w:val="00B129FB"/>
    <w:rsid w:val="00B1324D"/>
    <w:rsid w:val="00B133CD"/>
    <w:rsid w:val="00B137F3"/>
    <w:rsid w:val="00B157E2"/>
    <w:rsid w:val="00B1686B"/>
    <w:rsid w:val="00B172BE"/>
    <w:rsid w:val="00B17B5F"/>
    <w:rsid w:val="00B17EC3"/>
    <w:rsid w:val="00B22936"/>
    <w:rsid w:val="00B231C8"/>
    <w:rsid w:val="00B23529"/>
    <w:rsid w:val="00B24A45"/>
    <w:rsid w:val="00B251B7"/>
    <w:rsid w:val="00B25B42"/>
    <w:rsid w:val="00B25B92"/>
    <w:rsid w:val="00B26948"/>
    <w:rsid w:val="00B27CC4"/>
    <w:rsid w:val="00B27D26"/>
    <w:rsid w:val="00B3057F"/>
    <w:rsid w:val="00B30F53"/>
    <w:rsid w:val="00B31F6F"/>
    <w:rsid w:val="00B33415"/>
    <w:rsid w:val="00B34D51"/>
    <w:rsid w:val="00B354DF"/>
    <w:rsid w:val="00B35F53"/>
    <w:rsid w:val="00B35F95"/>
    <w:rsid w:val="00B36576"/>
    <w:rsid w:val="00B366BE"/>
    <w:rsid w:val="00B36A0E"/>
    <w:rsid w:val="00B36BA1"/>
    <w:rsid w:val="00B36C3F"/>
    <w:rsid w:val="00B375DB"/>
    <w:rsid w:val="00B37CDE"/>
    <w:rsid w:val="00B40D67"/>
    <w:rsid w:val="00B41EF0"/>
    <w:rsid w:val="00B43C45"/>
    <w:rsid w:val="00B4515F"/>
    <w:rsid w:val="00B454E5"/>
    <w:rsid w:val="00B4609C"/>
    <w:rsid w:val="00B46607"/>
    <w:rsid w:val="00B47665"/>
    <w:rsid w:val="00B47B6B"/>
    <w:rsid w:val="00B47C11"/>
    <w:rsid w:val="00B50CFF"/>
    <w:rsid w:val="00B50EF1"/>
    <w:rsid w:val="00B510BC"/>
    <w:rsid w:val="00B52093"/>
    <w:rsid w:val="00B52650"/>
    <w:rsid w:val="00B531B9"/>
    <w:rsid w:val="00B53665"/>
    <w:rsid w:val="00B53A6D"/>
    <w:rsid w:val="00B54755"/>
    <w:rsid w:val="00B550AC"/>
    <w:rsid w:val="00B55EE8"/>
    <w:rsid w:val="00B56065"/>
    <w:rsid w:val="00B56DB3"/>
    <w:rsid w:val="00B56E6C"/>
    <w:rsid w:val="00B61262"/>
    <w:rsid w:val="00B61A7F"/>
    <w:rsid w:val="00B62571"/>
    <w:rsid w:val="00B627D4"/>
    <w:rsid w:val="00B63BEB"/>
    <w:rsid w:val="00B63D0E"/>
    <w:rsid w:val="00B64189"/>
    <w:rsid w:val="00B648B1"/>
    <w:rsid w:val="00B659AC"/>
    <w:rsid w:val="00B6618F"/>
    <w:rsid w:val="00B67D9B"/>
    <w:rsid w:val="00B70DE3"/>
    <w:rsid w:val="00B7274F"/>
    <w:rsid w:val="00B72E7C"/>
    <w:rsid w:val="00B73B27"/>
    <w:rsid w:val="00B75B72"/>
    <w:rsid w:val="00B765F8"/>
    <w:rsid w:val="00B76894"/>
    <w:rsid w:val="00B7717B"/>
    <w:rsid w:val="00B77962"/>
    <w:rsid w:val="00B806D6"/>
    <w:rsid w:val="00B808AD"/>
    <w:rsid w:val="00B81F1A"/>
    <w:rsid w:val="00B82F34"/>
    <w:rsid w:val="00B83039"/>
    <w:rsid w:val="00B83356"/>
    <w:rsid w:val="00B83749"/>
    <w:rsid w:val="00B84204"/>
    <w:rsid w:val="00B8637F"/>
    <w:rsid w:val="00B864B0"/>
    <w:rsid w:val="00B87357"/>
    <w:rsid w:val="00B90D2F"/>
    <w:rsid w:val="00B90F46"/>
    <w:rsid w:val="00B9199A"/>
    <w:rsid w:val="00B91BAF"/>
    <w:rsid w:val="00B93A7F"/>
    <w:rsid w:val="00B9424F"/>
    <w:rsid w:val="00B953F8"/>
    <w:rsid w:val="00B96389"/>
    <w:rsid w:val="00B97331"/>
    <w:rsid w:val="00B97897"/>
    <w:rsid w:val="00B97CE2"/>
    <w:rsid w:val="00BA08CD"/>
    <w:rsid w:val="00BA135C"/>
    <w:rsid w:val="00BA5B00"/>
    <w:rsid w:val="00BA7492"/>
    <w:rsid w:val="00BA79C0"/>
    <w:rsid w:val="00BB02F3"/>
    <w:rsid w:val="00BB0880"/>
    <w:rsid w:val="00BB0EA8"/>
    <w:rsid w:val="00BB1A07"/>
    <w:rsid w:val="00BB2195"/>
    <w:rsid w:val="00BB2A9D"/>
    <w:rsid w:val="00BB2B01"/>
    <w:rsid w:val="00BB2E3E"/>
    <w:rsid w:val="00BB4CE1"/>
    <w:rsid w:val="00BB5E35"/>
    <w:rsid w:val="00BB6AB1"/>
    <w:rsid w:val="00BB6DAD"/>
    <w:rsid w:val="00BB7346"/>
    <w:rsid w:val="00BB74AF"/>
    <w:rsid w:val="00BC064D"/>
    <w:rsid w:val="00BC1555"/>
    <w:rsid w:val="00BC1867"/>
    <w:rsid w:val="00BC1D4E"/>
    <w:rsid w:val="00BC20A8"/>
    <w:rsid w:val="00BC2BD2"/>
    <w:rsid w:val="00BC36D6"/>
    <w:rsid w:val="00BC3FBB"/>
    <w:rsid w:val="00BC469F"/>
    <w:rsid w:val="00BC60A9"/>
    <w:rsid w:val="00BC720B"/>
    <w:rsid w:val="00BD182F"/>
    <w:rsid w:val="00BD207F"/>
    <w:rsid w:val="00BD37B5"/>
    <w:rsid w:val="00BD3A49"/>
    <w:rsid w:val="00BD4C4A"/>
    <w:rsid w:val="00BD5CF6"/>
    <w:rsid w:val="00BD655B"/>
    <w:rsid w:val="00BD7022"/>
    <w:rsid w:val="00BE0C8A"/>
    <w:rsid w:val="00BE1024"/>
    <w:rsid w:val="00BE285C"/>
    <w:rsid w:val="00BE2B1E"/>
    <w:rsid w:val="00BE334D"/>
    <w:rsid w:val="00BE4988"/>
    <w:rsid w:val="00BE51F5"/>
    <w:rsid w:val="00BE538C"/>
    <w:rsid w:val="00BE6DAA"/>
    <w:rsid w:val="00BF1C24"/>
    <w:rsid w:val="00BF2222"/>
    <w:rsid w:val="00BF2A44"/>
    <w:rsid w:val="00BF2E3B"/>
    <w:rsid w:val="00BF3800"/>
    <w:rsid w:val="00BF5A0A"/>
    <w:rsid w:val="00BF5E73"/>
    <w:rsid w:val="00C02E6D"/>
    <w:rsid w:val="00C03DFC"/>
    <w:rsid w:val="00C0413D"/>
    <w:rsid w:val="00C06465"/>
    <w:rsid w:val="00C06939"/>
    <w:rsid w:val="00C1068B"/>
    <w:rsid w:val="00C10772"/>
    <w:rsid w:val="00C10954"/>
    <w:rsid w:val="00C10A91"/>
    <w:rsid w:val="00C1117B"/>
    <w:rsid w:val="00C1177D"/>
    <w:rsid w:val="00C127F4"/>
    <w:rsid w:val="00C1524F"/>
    <w:rsid w:val="00C15DB0"/>
    <w:rsid w:val="00C20987"/>
    <w:rsid w:val="00C2163F"/>
    <w:rsid w:val="00C21E3B"/>
    <w:rsid w:val="00C2297A"/>
    <w:rsid w:val="00C22E89"/>
    <w:rsid w:val="00C23D53"/>
    <w:rsid w:val="00C2454D"/>
    <w:rsid w:val="00C3009B"/>
    <w:rsid w:val="00C33359"/>
    <w:rsid w:val="00C33BC4"/>
    <w:rsid w:val="00C34AE7"/>
    <w:rsid w:val="00C35B1A"/>
    <w:rsid w:val="00C36959"/>
    <w:rsid w:val="00C37B3F"/>
    <w:rsid w:val="00C40364"/>
    <w:rsid w:val="00C40741"/>
    <w:rsid w:val="00C40BDA"/>
    <w:rsid w:val="00C416AA"/>
    <w:rsid w:val="00C41C7D"/>
    <w:rsid w:val="00C41D43"/>
    <w:rsid w:val="00C42E08"/>
    <w:rsid w:val="00C45305"/>
    <w:rsid w:val="00C45B50"/>
    <w:rsid w:val="00C46C72"/>
    <w:rsid w:val="00C47AE5"/>
    <w:rsid w:val="00C50192"/>
    <w:rsid w:val="00C50B7F"/>
    <w:rsid w:val="00C52DB4"/>
    <w:rsid w:val="00C53D78"/>
    <w:rsid w:val="00C54F34"/>
    <w:rsid w:val="00C55508"/>
    <w:rsid w:val="00C5716E"/>
    <w:rsid w:val="00C5723B"/>
    <w:rsid w:val="00C57446"/>
    <w:rsid w:val="00C57FE1"/>
    <w:rsid w:val="00C61CF6"/>
    <w:rsid w:val="00C61DCE"/>
    <w:rsid w:val="00C62658"/>
    <w:rsid w:val="00C63023"/>
    <w:rsid w:val="00C6358B"/>
    <w:rsid w:val="00C636C9"/>
    <w:rsid w:val="00C63743"/>
    <w:rsid w:val="00C63D2B"/>
    <w:rsid w:val="00C6472F"/>
    <w:rsid w:val="00C64E16"/>
    <w:rsid w:val="00C657DA"/>
    <w:rsid w:val="00C6627A"/>
    <w:rsid w:val="00C66DB6"/>
    <w:rsid w:val="00C67309"/>
    <w:rsid w:val="00C674BC"/>
    <w:rsid w:val="00C6769F"/>
    <w:rsid w:val="00C701B2"/>
    <w:rsid w:val="00C70C3A"/>
    <w:rsid w:val="00C72A4F"/>
    <w:rsid w:val="00C73BCE"/>
    <w:rsid w:val="00C74F5B"/>
    <w:rsid w:val="00C76197"/>
    <w:rsid w:val="00C76C6C"/>
    <w:rsid w:val="00C80BBD"/>
    <w:rsid w:val="00C80EC5"/>
    <w:rsid w:val="00C84398"/>
    <w:rsid w:val="00C84447"/>
    <w:rsid w:val="00C844DB"/>
    <w:rsid w:val="00C84A83"/>
    <w:rsid w:val="00C8544D"/>
    <w:rsid w:val="00C85797"/>
    <w:rsid w:val="00C86108"/>
    <w:rsid w:val="00C86BB9"/>
    <w:rsid w:val="00C8772C"/>
    <w:rsid w:val="00C9065A"/>
    <w:rsid w:val="00C96F80"/>
    <w:rsid w:val="00CA113A"/>
    <w:rsid w:val="00CA2880"/>
    <w:rsid w:val="00CA43FD"/>
    <w:rsid w:val="00CA4D6F"/>
    <w:rsid w:val="00CA6CA5"/>
    <w:rsid w:val="00CA7D93"/>
    <w:rsid w:val="00CB01A4"/>
    <w:rsid w:val="00CB09DD"/>
    <w:rsid w:val="00CB18EB"/>
    <w:rsid w:val="00CB2010"/>
    <w:rsid w:val="00CB24D5"/>
    <w:rsid w:val="00CB3D37"/>
    <w:rsid w:val="00CB441E"/>
    <w:rsid w:val="00CB54F7"/>
    <w:rsid w:val="00CB66B5"/>
    <w:rsid w:val="00CC0434"/>
    <w:rsid w:val="00CC1B0B"/>
    <w:rsid w:val="00CC4051"/>
    <w:rsid w:val="00CC46EB"/>
    <w:rsid w:val="00CC4ED8"/>
    <w:rsid w:val="00CC51AA"/>
    <w:rsid w:val="00CC5221"/>
    <w:rsid w:val="00CC55A1"/>
    <w:rsid w:val="00CC5BA3"/>
    <w:rsid w:val="00CC5CCD"/>
    <w:rsid w:val="00CC6046"/>
    <w:rsid w:val="00CC64F0"/>
    <w:rsid w:val="00CC7226"/>
    <w:rsid w:val="00CC72E9"/>
    <w:rsid w:val="00CC76E1"/>
    <w:rsid w:val="00CC7973"/>
    <w:rsid w:val="00CD0C52"/>
    <w:rsid w:val="00CD1617"/>
    <w:rsid w:val="00CD237E"/>
    <w:rsid w:val="00CD25C2"/>
    <w:rsid w:val="00CD2C5D"/>
    <w:rsid w:val="00CD3A8D"/>
    <w:rsid w:val="00CD4738"/>
    <w:rsid w:val="00CD4D4E"/>
    <w:rsid w:val="00CD5158"/>
    <w:rsid w:val="00CD5373"/>
    <w:rsid w:val="00CE2413"/>
    <w:rsid w:val="00CE24E5"/>
    <w:rsid w:val="00CE41DB"/>
    <w:rsid w:val="00CE4D96"/>
    <w:rsid w:val="00CF2637"/>
    <w:rsid w:val="00CF3865"/>
    <w:rsid w:val="00CF4A43"/>
    <w:rsid w:val="00CF5D24"/>
    <w:rsid w:val="00CF6359"/>
    <w:rsid w:val="00D01874"/>
    <w:rsid w:val="00D02B34"/>
    <w:rsid w:val="00D03CD9"/>
    <w:rsid w:val="00D0451C"/>
    <w:rsid w:val="00D04A20"/>
    <w:rsid w:val="00D04E03"/>
    <w:rsid w:val="00D0538C"/>
    <w:rsid w:val="00D05D21"/>
    <w:rsid w:val="00D060C8"/>
    <w:rsid w:val="00D06917"/>
    <w:rsid w:val="00D0786E"/>
    <w:rsid w:val="00D078C4"/>
    <w:rsid w:val="00D12596"/>
    <w:rsid w:val="00D1294E"/>
    <w:rsid w:val="00D152D1"/>
    <w:rsid w:val="00D15EA5"/>
    <w:rsid w:val="00D160E3"/>
    <w:rsid w:val="00D17386"/>
    <w:rsid w:val="00D17B2A"/>
    <w:rsid w:val="00D2100B"/>
    <w:rsid w:val="00D2135D"/>
    <w:rsid w:val="00D2249B"/>
    <w:rsid w:val="00D24220"/>
    <w:rsid w:val="00D25E6B"/>
    <w:rsid w:val="00D3089E"/>
    <w:rsid w:val="00D31D7A"/>
    <w:rsid w:val="00D3206B"/>
    <w:rsid w:val="00D331A6"/>
    <w:rsid w:val="00D33E60"/>
    <w:rsid w:val="00D3545F"/>
    <w:rsid w:val="00D369AF"/>
    <w:rsid w:val="00D41E85"/>
    <w:rsid w:val="00D424A4"/>
    <w:rsid w:val="00D430AD"/>
    <w:rsid w:val="00D4344A"/>
    <w:rsid w:val="00D460E7"/>
    <w:rsid w:val="00D4748E"/>
    <w:rsid w:val="00D52969"/>
    <w:rsid w:val="00D53AEF"/>
    <w:rsid w:val="00D56816"/>
    <w:rsid w:val="00D56AB5"/>
    <w:rsid w:val="00D57A2F"/>
    <w:rsid w:val="00D6011A"/>
    <w:rsid w:val="00D60285"/>
    <w:rsid w:val="00D62373"/>
    <w:rsid w:val="00D62DC0"/>
    <w:rsid w:val="00D63122"/>
    <w:rsid w:val="00D63ABC"/>
    <w:rsid w:val="00D63E20"/>
    <w:rsid w:val="00D65F3A"/>
    <w:rsid w:val="00D65F5C"/>
    <w:rsid w:val="00D675F1"/>
    <w:rsid w:val="00D67B73"/>
    <w:rsid w:val="00D70D0C"/>
    <w:rsid w:val="00D716D6"/>
    <w:rsid w:val="00D726F9"/>
    <w:rsid w:val="00D728FE"/>
    <w:rsid w:val="00D72A9E"/>
    <w:rsid w:val="00D7350F"/>
    <w:rsid w:val="00D73B96"/>
    <w:rsid w:val="00D741BB"/>
    <w:rsid w:val="00D77D37"/>
    <w:rsid w:val="00D77E5E"/>
    <w:rsid w:val="00D80807"/>
    <w:rsid w:val="00D811F0"/>
    <w:rsid w:val="00D814EE"/>
    <w:rsid w:val="00D821D1"/>
    <w:rsid w:val="00D82F59"/>
    <w:rsid w:val="00D85955"/>
    <w:rsid w:val="00D86917"/>
    <w:rsid w:val="00D86B5B"/>
    <w:rsid w:val="00D87B35"/>
    <w:rsid w:val="00D9263F"/>
    <w:rsid w:val="00D92EBB"/>
    <w:rsid w:val="00D92F9A"/>
    <w:rsid w:val="00D9427D"/>
    <w:rsid w:val="00D96128"/>
    <w:rsid w:val="00D976C9"/>
    <w:rsid w:val="00D97DEB"/>
    <w:rsid w:val="00DA25FC"/>
    <w:rsid w:val="00DA2D3D"/>
    <w:rsid w:val="00DA36EE"/>
    <w:rsid w:val="00DA39EA"/>
    <w:rsid w:val="00DA4225"/>
    <w:rsid w:val="00DA452E"/>
    <w:rsid w:val="00DA5128"/>
    <w:rsid w:val="00DA6262"/>
    <w:rsid w:val="00DA6810"/>
    <w:rsid w:val="00DA720D"/>
    <w:rsid w:val="00DB0E17"/>
    <w:rsid w:val="00DB18F2"/>
    <w:rsid w:val="00DB2B7C"/>
    <w:rsid w:val="00DB308D"/>
    <w:rsid w:val="00DB39DF"/>
    <w:rsid w:val="00DB53C7"/>
    <w:rsid w:val="00DB5B09"/>
    <w:rsid w:val="00DB5F40"/>
    <w:rsid w:val="00DB6160"/>
    <w:rsid w:val="00DB63F3"/>
    <w:rsid w:val="00DB6613"/>
    <w:rsid w:val="00DB66BE"/>
    <w:rsid w:val="00DB67E5"/>
    <w:rsid w:val="00DB686D"/>
    <w:rsid w:val="00DC0ED1"/>
    <w:rsid w:val="00DC1C04"/>
    <w:rsid w:val="00DC6A6F"/>
    <w:rsid w:val="00DD0DCA"/>
    <w:rsid w:val="00DD19A1"/>
    <w:rsid w:val="00DD1E47"/>
    <w:rsid w:val="00DD245A"/>
    <w:rsid w:val="00DD61A9"/>
    <w:rsid w:val="00DD6EF1"/>
    <w:rsid w:val="00DE0197"/>
    <w:rsid w:val="00DE03F4"/>
    <w:rsid w:val="00DE3334"/>
    <w:rsid w:val="00DE39FB"/>
    <w:rsid w:val="00DE43F5"/>
    <w:rsid w:val="00DE44EB"/>
    <w:rsid w:val="00DE475E"/>
    <w:rsid w:val="00DE4958"/>
    <w:rsid w:val="00DE5392"/>
    <w:rsid w:val="00DE6FD9"/>
    <w:rsid w:val="00DF0F6A"/>
    <w:rsid w:val="00DF1608"/>
    <w:rsid w:val="00DF2138"/>
    <w:rsid w:val="00DF2DF5"/>
    <w:rsid w:val="00DF327F"/>
    <w:rsid w:val="00DF3504"/>
    <w:rsid w:val="00DF49EB"/>
    <w:rsid w:val="00DF6A7A"/>
    <w:rsid w:val="00DF71E8"/>
    <w:rsid w:val="00DF7AF4"/>
    <w:rsid w:val="00DF7B5C"/>
    <w:rsid w:val="00E00225"/>
    <w:rsid w:val="00E005B4"/>
    <w:rsid w:val="00E031EA"/>
    <w:rsid w:val="00E04361"/>
    <w:rsid w:val="00E0492D"/>
    <w:rsid w:val="00E05E7E"/>
    <w:rsid w:val="00E064FD"/>
    <w:rsid w:val="00E0780C"/>
    <w:rsid w:val="00E07EE1"/>
    <w:rsid w:val="00E1053A"/>
    <w:rsid w:val="00E10710"/>
    <w:rsid w:val="00E11FD4"/>
    <w:rsid w:val="00E1236B"/>
    <w:rsid w:val="00E14306"/>
    <w:rsid w:val="00E1456E"/>
    <w:rsid w:val="00E14A86"/>
    <w:rsid w:val="00E15CDE"/>
    <w:rsid w:val="00E1643B"/>
    <w:rsid w:val="00E17052"/>
    <w:rsid w:val="00E17B74"/>
    <w:rsid w:val="00E17E83"/>
    <w:rsid w:val="00E215B3"/>
    <w:rsid w:val="00E21938"/>
    <w:rsid w:val="00E23A12"/>
    <w:rsid w:val="00E23A49"/>
    <w:rsid w:val="00E23B72"/>
    <w:rsid w:val="00E24FBC"/>
    <w:rsid w:val="00E25B10"/>
    <w:rsid w:val="00E26AF3"/>
    <w:rsid w:val="00E276E0"/>
    <w:rsid w:val="00E279AF"/>
    <w:rsid w:val="00E314EA"/>
    <w:rsid w:val="00E33FDA"/>
    <w:rsid w:val="00E3462A"/>
    <w:rsid w:val="00E36040"/>
    <w:rsid w:val="00E37C10"/>
    <w:rsid w:val="00E406D5"/>
    <w:rsid w:val="00E41157"/>
    <w:rsid w:val="00E41502"/>
    <w:rsid w:val="00E45160"/>
    <w:rsid w:val="00E50929"/>
    <w:rsid w:val="00E51C35"/>
    <w:rsid w:val="00E5251A"/>
    <w:rsid w:val="00E54296"/>
    <w:rsid w:val="00E54534"/>
    <w:rsid w:val="00E5454A"/>
    <w:rsid w:val="00E56701"/>
    <w:rsid w:val="00E606D4"/>
    <w:rsid w:val="00E6143D"/>
    <w:rsid w:val="00E6175F"/>
    <w:rsid w:val="00E62754"/>
    <w:rsid w:val="00E64D2D"/>
    <w:rsid w:val="00E6625D"/>
    <w:rsid w:val="00E66937"/>
    <w:rsid w:val="00E66EB4"/>
    <w:rsid w:val="00E66F06"/>
    <w:rsid w:val="00E72700"/>
    <w:rsid w:val="00E7312A"/>
    <w:rsid w:val="00E7319E"/>
    <w:rsid w:val="00E74114"/>
    <w:rsid w:val="00E74332"/>
    <w:rsid w:val="00E7481A"/>
    <w:rsid w:val="00E77392"/>
    <w:rsid w:val="00E80503"/>
    <w:rsid w:val="00E80D24"/>
    <w:rsid w:val="00E81430"/>
    <w:rsid w:val="00E817B9"/>
    <w:rsid w:val="00E825F4"/>
    <w:rsid w:val="00E84095"/>
    <w:rsid w:val="00E84CA3"/>
    <w:rsid w:val="00E854AE"/>
    <w:rsid w:val="00E86B53"/>
    <w:rsid w:val="00E877D4"/>
    <w:rsid w:val="00E87B8A"/>
    <w:rsid w:val="00E9110B"/>
    <w:rsid w:val="00E91356"/>
    <w:rsid w:val="00E91A3C"/>
    <w:rsid w:val="00E9210C"/>
    <w:rsid w:val="00E925EB"/>
    <w:rsid w:val="00E92E07"/>
    <w:rsid w:val="00E92EDA"/>
    <w:rsid w:val="00E9598C"/>
    <w:rsid w:val="00E96633"/>
    <w:rsid w:val="00E97095"/>
    <w:rsid w:val="00EA198B"/>
    <w:rsid w:val="00EA26B2"/>
    <w:rsid w:val="00EA2B6F"/>
    <w:rsid w:val="00EA3BFC"/>
    <w:rsid w:val="00EA45B4"/>
    <w:rsid w:val="00EA608F"/>
    <w:rsid w:val="00EB0349"/>
    <w:rsid w:val="00EB06DB"/>
    <w:rsid w:val="00EB0EA1"/>
    <w:rsid w:val="00EB199D"/>
    <w:rsid w:val="00EB1A7E"/>
    <w:rsid w:val="00EB2DCC"/>
    <w:rsid w:val="00EB3163"/>
    <w:rsid w:val="00EB3478"/>
    <w:rsid w:val="00EB4B39"/>
    <w:rsid w:val="00EB5782"/>
    <w:rsid w:val="00EB5D62"/>
    <w:rsid w:val="00EB611C"/>
    <w:rsid w:val="00EB6FE3"/>
    <w:rsid w:val="00EC07BC"/>
    <w:rsid w:val="00EC17F0"/>
    <w:rsid w:val="00EC2A16"/>
    <w:rsid w:val="00EC5A7A"/>
    <w:rsid w:val="00EC70A0"/>
    <w:rsid w:val="00EC7774"/>
    <w:rsid w:val="00EC7AA9"/>
    <w:rsid w:val="00ED081C"/>
    <w:rsid w:val="00ED0B14"/>
    <w:rsid w:val="00ED0CF5"/>
    <w:rsid w:val="00ED1EAE"/>
    <w:rsid w:val="00ED353D"/>
    <w:rsid w:val="00ED36E1"/>
    <w:rsid w:val="00ED5025"/>
    <w:rsid w:val="00ED5426"/>
    <w:rsid w:val="00ED6581"/>
    <w:rsid w:val="00ED6B07"/>
    <w:rsid w:val="00ED6B78"/>
    <w:rsid w:val="00ED6F54"/>
    <w:rsid w:val="00EE0F65"/>
    <w:rsid w:val="00EE2EFF"/>
    <w:rsid w:val="00EE5A29"/>
    <w:rsid w:val="00EE7428"/>
    <w:rsid w:val="00EF114B"/>
    <w:rsid w:val="00EF1D94"/>
    <w:rsid w:val="00EF1EAF"/>
    <w:rsid w:val="00EF24F4"/>
    <w:rsid w:val="00EF32EF"/>
    <w:rsid w:val="00EF33B8"/>
    <w:rsid w:val="00EF3647"/>
    <w:rsid w:val="00EF4A7F"/>
    <w:rsid w:val="00EF4E2C"/>
    <w:rsid w:val="00EF4E53"/>
    <w:rsid w:val="00EF569B"/>
    <w:rsid w:val="00EF6853"/>
    <w:rsid w:val="00F01251"/>
    <w:rsid w:val="00F01469"/>
    <w:rsid w:val="00F01F44"/>
    <w:rsid w:val="00F029CF"/>
    <w:rsid w:val="00F0398C"/>
    <w:rsid w:val="00F050D9"/>
    <w:rsid w:val="00F0747E"/>
    <w:rsid w:val="00F075A0"/>
    <w:rsid w:val="00F07963"/>
    <w:rsid w:val="00F115B3"/>
    <w:rsid w:val="00F11812"/>
    <w:rsid w:val="00F1458A"/>
    <w:rsid w:val="00F1484D"/>
    <w:rsid w:val="00F160D9"/>
    <w:rsid w:val="00F170FC"/>
    <w:rsid w:val="00F2029E"/>
    <w:rsid w:val="00F20FF2"/>
    <w:rsid w:val="00F232E9"/>
    <w:rsid w:val="00F246A1"/>
    <w:rsid w:val="00F25517"/>
    <w:rsid w:val="00F25E54"/>
    <w:rsid w:val="00F26B68"/>
    <w:rsid w:val="00F27D5A"/>
    <w:rsid w:val="00F312B1"/>
    <w:rsid w:val="00F31E8F"/>
    <w:rsid w:val="00F325DB"/>
    <w:rsid w:val="00F348CD"/>
    <w:rsid w:val="00F3527E"/>
    <w:rsid w:val="00F35CD2"/>
    <w:rsid w:val="00F36C4C"/>
    <w:rsid w:val="00F374E4"/>
    <w:rsid w:val="00F37917"/>
    <w:rsid w:val="00F40220"/>
    <w:rsid w:val="00F410BA"/>
    <w:rsid w:val="00F43718"/>
    <w:rsid w:val="00F43F41"/>
    <w:rsid w:val="00F44CD5"/>
    <w:rsid w:val="00F45026"/>
    <w:rsid w:val="00F4682A"/>
    <w:rsid w:val="00F50922"/>
    <w:rsid w:val="00F50E24"/>
    <w:rsid w:val="00F51277"/>
    <w:rsid w:val="00F52CE6"/>
    <w:rsid w:val="00F54401"/>
    <w:rsid w:val="00F54DA2"/>
    <w:rsid w:val="00F5513E"/>
    <w:rsid w:val="00F5697C"/>
    <w:rsid w:val="00F56A24"/>
    <w:rsid w:val="00F56D6B"/>
    <w:rsid w:val="00F57182"/>
    <w:rsid w:val="00F61DEE"/>
    <w:rsid w:val="00F6391F"/>
    <w:rsid w:val="00F63F3E"/>
    <w:rsid w:val="00F63F3F"/>
    <w:rsid w:val="00F63F41"/>
    <w:rsid w:val="00F6418C"/>
    <w:rsid w:val="00F64C15"/>
    <w:rsid w:val="00F65044"/>
    <w:rsid w:val="00F6574D"/>
    <w:rsid w:val="00F66681"/>
    <w:rsid w:val="00F66FA5"/>
    <w:rsid w:val="00F6748E"/>
    <w:rsid w:val="00F6773E"/>
    <w:rsid w:val="00F7017F"/>
    <w:rsid w:val="00F71678"/>
    <w:rsid w:val="00F71A70"/>
    <w:rsid w:val="00F720BD"/>
    <w:rsid w:val="00F72E23"/>
    <w:rsid w:val="00F730E3"/>
    <w:rsid w:val="00F73F37"/>
    <w:rsid w:val="00F743F3"/>
    <w:rsid w:val="00F755E9"/>
    <w:rsid w:val="00F773EA"/>
    <w:rsid w:val="00F77C03"/>
    <w:rsid w:val="00F80362"/>
    <w:rsid w:val="00F80EE0"/>
    <w:rsid w:val="00F819CA"/>
    <w:rsid w:val="00F82429"/>
    <w:rsid w:val="00F8276C"/>
    <w:rsid w:val="00F84BBC"/>
    <w:rsid w:val="00F85DC5"/>
    <w:rsid w:val="00F86609"/>
    <w:rsid w:val="00F909CD"/>
    <w:rsid w:val="00F910E6"/>
    <w:rsid w:val="00F915EB"/>
    <w:rsid w:val="00F93EE2"/>
    <w:rsid w:val="00F969B9"/>
    <w:rsid w:val="00F96A02"/>
    <w:rsid w:val="00F974D1"/>
    <w:rsid w:val="00FA0A0A"/>
    <w:rsid w:val="00FA0C14"/>
    <w:rsid w:val="00FA16E0"/>
    <w:rsid w:val="00FA494F"/>
    <w:rsid w:val="00FA74CF"/>
    <w:rsid w:val="00FB0F7E"/>
    <w:rsid w:val="00FB219F"/>
    <w:rsid w:val="00FB40B5"/>
    <w:rsid w:val="00FB6B03"/>
    <w:rsid w:val="00FB7A6A"/>
    <w:rsid w:val="00FC0153"/>
    <w:rsid w:val="00FC01EC"/>
    <w:rsid w:val="00FC1304"/>
    <w:rsid w:val="00FC1B82"/>
    <w:rsid w:val="00FC1DE8"/>
    <w:rsid w:val="00FC28EB"/>
    <w:rsid w:val="00FC4397"/>
    <w:rsid w:val="00FC4453"/>
    <w:rsid w:val="00FC4D49"/>
    <w:rsid w:val="00FC5A76"/>
    <w:rsid w:val="00FC5B64"/>
    <w:rsid w:val="00FC6F17"/>
    <w:rsid w:val="00FD02CA"/>
    <w:rsid w:val="00FD05AD"/>
    <w:rsid w:val="00FD0666"/>
    <w:rsid w:val="00FD0C52"/>
    <w:rsid w:val="00FD1C03"/>
    <w:rsid w:val="00FD3B04"/>
    <w:rsid w:val="00FD3DCA"/>
    <w:rsid w:val="00FD6372"/>
    <w:rsid w:val="00FD7295"/>
    <w:rsid w:val="00FE0455"/>
    <w:rsid w:val="00FE110D"/>
    <w:rsid w:val="00FE1691"/>
    <w:rsid w:val="00FE2187"/>
    <w:rsid w:val="00FE26B2"/>
    <w:rsid w:val="00FE2944"/>
    <w:rsid w:val="00FE320C"/>
    <w:rsid w:val="00FE5533"/>
    <w:rsid w:val="00FE5BC1"/>
    <w:rsid w:val="00FE5FC0"/>
    <w:rsid w:val="00FE6B82"/>
    <w:rsid w:val="00FF0E7D"/>
    <w:rsid w:val="00FF2C8B"/>
    <w:rsid w:val="00FF3D08"/>
    <w:rsid w:val="00FF3E72"/>
    <w:rsid w:val="00FF5A7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05BF07"/>
  <w15:docId w15:val="{61B997E9-7ADA-424F-BC03-932C283F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DB5F40"/>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16"/>
      </w:numPr>
    </w:pPr>
  </w:style>
  <w:style w:type="paragraph" w:styleId="ListNumber">
    <w:name w:val="List Number"/>
    <w:basedOn w:val="Normal"/>
    <w:uiPriority w:val="1"/>
    <w:qFormat/>
    <w:rsid w:val="00894ACE"/>
    <w:pPr>
      <w:numPr>
        <w:numId w:val="17"/>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16"/>
      </w:numPr>
    </w:pPr>
  </w:style>
  <w:style w:type="paragraph" w:styleId="ListNumber2">
    <w:name w:val="List Number 2"/>
    <w:basedOn w:val="Normal"/>
    <w:uiPriority w:val="1"/>
    <w:qFormat/>
    <w:rsid w:val="00894ACE"/>
    <w:pPr>
      <w:numPr>
        <w:ilvl w:val="1"/>
        <w:numId w:val="17"/>
      </w:numPr>
    </w:pPr>
  </w:style>
  <w:style w:type="paragraph" w:styleId="ListNumber3">
    <w:name w:val="List Number 3"/>
    <w:basedOn w:val="Normal"/>
    <w:uiPriority w:val="1"/>
    <w:qFormat/>
    <w:rsid w:val="00894ACE"/>
    <w:pPr>
      <w:numPr>
        <w:ilvl w:val="2"/>
        <w:numId w:val="17"/>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9"/>
      </w:numPr>
    </w:pPr>
  </w:style>
  <w:style w:type="paragraph" w:customStyle="1" w:styleId="ParagraphBullet2">
    <w:name w:val="Paragraph Bullet 2"/>
    <w:basedOn w:val="Normal"/>
    <w:uiPriority w:val="1"/>
    <w:rsid w:val="00452E7B"/>
    <w:pPr>
      <w:numPr>
        <w:ilvl w:val="1"/>
        <w:numId w:val="9"/>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semiHidden/>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16"/>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14"/>
      </w:numPr>
      <w:spacing w:before="60" w:after="60"/>
    </w:pPr>
  </w:style>
  <w:style w:type="paragraph" w:customStyle="1" w:styleId="TableBullet2">
    <w:name w:val="Table Bullet 2"/>
    <w:basedOn w:val="ListBullet2"/>
    <w:uiPriority w:val="9"/>
    <w:qFormat/>
    <w:rsid w:val="00894ACE"/>
    <w:pPr>
      <w:numPr>
        <w:numId w:val="14"/>
      </w:numPr>
      <w:spacing w:before="60" w:after="60"/>
    </w:pPr>
  </w:style>
  <w:style w:type="paragraph" w:customStyle="1" w:styleId="TableBullet3">
    <w:name w:val="Table Bullet 3"/>
    <w:basedOn w:val="ListBullet3"/>
    <w:uiPriority w:val="9"/>
    <w:qFormat/>
    <w:rsid w:val="00894ACE"/>
    <w:pPr>
      <w:numPr>
        <w:numId w:val="14"/>
      </w:numPr>
      <w:spacing w:before="60" w:after="60"/>
    </w:pPr>
  </w:style>
  <w:style w:type="paragraph" w:customStyle="1" w:styleId="TableNumber">
    <w:name w:val="Table Number"/>
    <w:basedOn w:val="ListNumber"/>
    <w:uiPriority w:val="9"/>
    <w:qFormat/>
    <w:rsid w:val="00894ACE"/>
    <w:pPr>
      <w:numPr>
        <w:numId w:val="15"/>
      </w:numPr>
      <w:spacing w:before="60" w:after="60"/>
    </w:pPr>
  </w:style>
  <w:style w:type="paragraph" w:customStyle="1" w:styleId="TableNumber2">
    <w:name w:val="Table Number 2"/>
    <w:basedOn w:val="ListNumber2"/>
    <w:uiPriority w:val="9"/>
    <w:qFormat/>
    <w:rsid w:val="00894ACE"/>
    <w:pPr>
      <w:numPr>
        <w:numId w:val="15"/>
      </w:numPr>
      <w:spacing w:before="60" w:after="60"/>
    </w:pPr>
  </w:style>
  <w:style w:type="paragraph" w:customStyle="1" w:styleId="TableNumber3">
    <w:name w:val="Table Number 3"/>
    <w:basedOn w:val="ListNumber3"/>
    <w:uiPriority w:val="9"/>
    <w:qFormat/>
    <w:rsid w:val="00894ACE"/>
    <w:pPr>
      <w:numPr>
        <w:numId w:val="15"/>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 w:type="paragraph" w:customStyle="1" w:styleId="RNormal">
    <w:name w:val="RNormal"/>
    <w:basedOn w:val="Normal"/>
    <w:rsid w:val="00EF1EAF"/>
    <w:pPr>
      <w:spacing w:after="0" w:line="240" w:lineRule="auto"/>
      <w:jc w:val="both"/>
    </w:pPr>
    <w:rPr>
      <w:rFonts w:ascii="Times New Roman" w:hAnsi="Times New Roman" w:cs="Times New Roman"/>
      <w:sz w:val="22"/>
      <w:szCs w:val="24"/>
      <w:lang w:val="en-US"/>
    </w:rPr>
  </w:style>
  <w:style w:type="numbering" w:customStyle="1" w:styleId="GTParagraphBullet1">
    <w:name w:val="GT Paragraph Bullet1"/>
    <w:uiPriority w:val="99"/>
    <w:rsid w:val="000975E4"/>
  </w:style>
  <w:style w:type="character" w:customStyle="1" w:styleId="jlqj4b">
    <w:name w:val="jlqj4b"/>
    <w:basedOn w:val="DefaultParagraphFont"/>
    <w:rsid w:val="0098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3644">
      <w:bodyDiv w:val="1"/>
      <w:marLeft w:val="0"/>
      <w:marRight w:val="0"/>
      <w:marTop w:val="0"/>
      <w:marBottom w:val="0"/>
      <w:divBdr>
        <w:top w:val="none" w:sz="0" w:space="0" w:color="auto"/>
        <w:left w:val="none" w:sz="0" w:space="0" w:color="auto"/>
        <w:bottom w:val="none" w:sz="0" w:space="0" w:color="auto"/>
        <w:right w:val="none" w:sz="0" w:space="0" w:color="auto"/>
      </w:divBdr>
    </w:div>
    <w:div w:id="97409895">
      <w:bodyDiv w:val="1"/>
      <w:marLeft w:val="0"/>
      <w:marRight w:val="0"/>
      <w:marTop w:val="0"/>
      <w:marBottom w:val="0"/>
      <w:divBdr>
        <w:top w:val="none" w:sz="0" w:space="0" w:color="auto"/>
        <w:left w:val="none" w:sz="0" w:space="0" w:color="auto"/>
        <w:bottom w:val="none" w:sz="0" w:space="0" w:color="auto"/>
        <w:right w:val="none" w:sz="0" w:space="0" w:color="auto"/>
      </w:divBdr>
    </w:div>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220529753">
      <w:bodyDiv w:val="1"/>
      <w:marLeft w:val="0"/>
      <w:marRight w:val="0"/>
      <w:marTop w:val="0"/>
      <w:marBottom w:val="0"/>
      <w:divBdr>
        <w:top w:val="none" w:sz="0" w:space="0" w:color="auto"/>
        <w:left w:val="none" w:sz="0" w:space="0" w:color="auto"/>
        <w:bottom w:val="none" w:sz="0" w:space="0" w:color="auto"/>
        <w:right w:val="none" w:sz="0" w:space="0" w:color="auto"/>
      </w:divBdr>
    </w:div>
    <w:div w:id="401030483">
      <w:bodyDiv w:val="1"/>
      <w:marLeft w:val="0"/>
      <w:marRight w:val="0"/>
      <w:marTop w:val="0"/>
      <w:marBottom w:val="0"/>
      <w:divBdr>
        <w:top w:val="none" w:sz="0" w:space="0" w:color="auto"/>
        <w:left w:val="none" w:sz="0" w:space="0" w:color="auto"/>
        <w:bottom w:val="none" w:sz="0" w:space="0" w:color="auto"/>
        <w:right w:val="none" w:sz="0" w:space="0" w:color="auto"/>
      </w:divBdr>
    </w:div>
    <w:div w:id="471094764">
      <w:bodyDiv w:val="1"/>
      <w:marLeft w:val="0"/>
      <w:marRight w:val="0"/>
      <w:marTop w:val="0"/>
      <w:marBottom w:val="0"/>
      <w:divBdr>
        <w:top w:val="none" w:sz="0" w:space="0" w:color="auto"/>
        <w:left w:val="none" w:sz="0" w:space="0" w:color="auto"/>
        <w:bottom w:val="none" w:sz="0" w:space="0" w:color="auto"/>
        <w:right w:val="none" w:sz="0" w:space="0" w:color="auto"/>
      </w:divBdr>
    </w:div>
    <w:div w:id="75813456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052340182">
      <w:bodyDiv w:val="1"/>
      <w:marLeft w:val="0"/>
      <w:marRight w:val="0"/>
      <w:marTop w:val="0"/>
      <w:marBottom w:val="0"/>
      <w:divBdr>
        <w:top w:val="none" w:sz="0" w:space="0" w:color="auto"/>
        <w:left w:val="none" w:sz="0" w:space="0" w:color="auto"/>
        <w:bottom w:val="none" w:sz="0" w:space="0" w:color="auto"/>
        <w:right w:val="none" w:sz="0" w:space="0" w:color="auto"/>
      </w:divBdr>
    </w:div>
    <w:div w:id="1098871041">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497653528">
      <w:bodyDiv w:val="1"/>
      <w:marLeft w:val="0"/>
      <w:marRight w:val="0"/>
      <w:marTop w:val="0"/>
      <w:marBottom w:val="0"/>
      <w:divBdr>
        <w:top w:val="none" w:sz="0" w:space="0" w:color="auto"/>
        <w:left w:val="none" w:sz="0" w:space="0" w:color="auto"/>
        <w:bottom w:val="none" w:sz="0" w:space="0" w:color="auto"/>
        <w:right w:val="none" w:sz="0" w:space="0" w:color="auto"/>
      </w:divBdr>
    </w:div>
    <w:div w:id="1781989542">
      <w:bodyDiv w:val="1"/>
      <w:marLeft w:val="0"/>
      <w:marRight w:val="0"/>
      <w:marTop w:val="0"/>
      <w:marBottom w:val="0"/>
      <w:divBdr>
        <w:top w:val="none" w:sz="0" w:space="0" w:color="auto"/>
        <w:left w:val="none" w:sz="0" w:space="0" w:color="auto"/>
        <w:bottom w:val="none" w:sz="0" w:space="0" w:color="auto"/>
        <w:right w:val="none" w:sz="0" w:space="0" w:color="auto"/>
      </w:divBdr>
    </w:div>
    <w:div w:id="1827933580">
      <w:bodyDiv w:val="1"/>
      <w:marLeft w:val="0"/>
      <w:marRight w:val="0"/>
      <w:marTop w:val="0"/>
      <w:marBottom w:val="0"/>
      <w:divBdr>
        <w:top w:val="none" w:sz="0" w:space="0" w:color="auto"/>
        <w:left w:val="none" w:sz="0" w:space="0" w:color="auto"/>
        <w:bottom w:val="none" w:sz="0" w:space="0" w:color="auto"/>
        <w:right w:val="none" w:sz="0" w:space="0" w:color="auto"/>
      </w:divBdr>
    </w:div>
    <w:div w:id="1920942128">
      <w:bodyDiv w:val="1"/>
      <w:marLeft w:val="0"/>
      <w:marRight w:val="0"/>
      <w:marTop w:val="0"/>
      <w:marBottom w:val="0"/>
      <w:divBdr>
        <w:top w:val="none" w:sz="0" w:space="0" w:color="auto"/>
        <w:left w:val="none" w:sz="0" w:space="0" w:color="auto"/>
        <w:bottom w:val="none" w:sz="0" w:space="0" w:color="auto"/>
        <w:right w:val="none" w:sz="0" w:space="0" w:color="auto"/>
      </w:divBdr>
    </w:div>
    <w:div w:id="1968074833">
      <w:bodyDiv w:val="1"/>
      <w:marLeft w:val="0"/>
      <w:marRight w:val="0"/>
      <w:marTop w:val="0"/>
      <w:marBottom w:val="0"/>
      <w:divBdr>
        <w:top w:val="none" w:sz="0" w:space="0" w:color="auto"/>
        <w:left w:val="none" w:sz="0" w:space="0" w:color="auto"/>
        <w:bottom w:val="none" w:sz="0" w:space="0" w:color="auto"/>
        <w:right w:val="none" w:sz="0" w:space="0" w:color="auto"/>
      </w:divBdr>
    </w:div>
    <w:div w:id="1993948796">
      <w:bodyDiv w:val="1"/>
      <w:marLeft w:val="0"/>
      <w:marRight w:val="0"/>
      <w:marTop w:val="0"/>
      <w:marBottom w:val="0"/>
      <w:divBdr>
        <w:top w:val="none" w:sz="0" w:space="0" w:color="auto"/>
        <w:left w:val="none" w:sz="0" w:space="0" w:color="auto"/>
        <w:bottom w:val="none" w:sz="0" w:space="0" w:color="auto"/>
        <w:right w:val="none" w:sz="0" w:space="0" w:color="auto"/>
      </w:divBdr>
    </w:div>
    <w:div w:id="20541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CA854-F9AC-46B9-AD80-78C399BDBEAA}">
  <ds:schemaRefs>
    <ds:schemaRef ds:uri="http://schemas.openxmlformats.org/officeDocument/2006/bibliography"/>
  </ds:schemaRefs>
</ds:datastoreItem>
</file>

<file path=customXml/itemProps2.xml><?xml version="1.0" encoding="utf-8"?>
<ds:datastoreItem xmlns:ds="http://schemas.openxmlformats.org/officeDocument/2006/customXml" ds:itemID="{32756A63-1050-41C9-A8ED-AA341B3AC3D6}">
  <ds:schemaRefs>
    <ds:schemaRef ds:uri="http://schemas.microsoft.com/sharepoint/v3/contenttype/forms"/>
  </ds:schemaRefs>
</ds:datastoreItem>
</file>

<file path=customXml/itemProps3.xml><?xml version="1.0" encoding="utf-8"?>
<ds:datastoreItem xmlns:ds="http://schemas.openxmlformats.org/officeDocument/2006/customXml" ds:itemID="{B6E66D83-5230-4C9B-B457-BCF437C4CA77}">
  <ds:schemaRefs>
    <ds:schemaRef ds:uri="http://schemas.microsoft.com/office/2006/metadata/properties"/>
    <ds:schemaRef ds:uri="7150b156-7bb5-4066-80e6-b00bbc82d047"/>
    <ds:schemaRef ds:uri="http://schemas.microsoft.com/office/2006/documentManagement/types"/>
    <ds:schemaRef ds:uri="http://purl.org/dc/terms/"/>
    <ds:schemaRef ds:uri="http://schemas.openxmlformats.org/package/2006/metadata/core-properties"/>
    <ds:schemaRef ds:uri="http://purl.org/dc/dcmitype/"/>
    <ds:schemaRef ds:uri="b6ea163a-e1ee-442d-8526-02365e4a7306"/>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14F7610-3B29-42AF-95FA-C7DD6CA6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Letter_GTSL.dotm</Template>
  <TotalTime>2042</TotalTime>
  <Pages>17</Pages>
  <Words>6148</Words>
  <Characters>35046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41112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Pornarin Jarudech</cp:lastModifiedBy>
  <cp:revision>1878</cp:revision>
  <cp:lastPrinted>2021-02-28T13:28:00Z</cp:lastPrinted>
  <dcterms:created xsi:type="dcterms:W3CDTF">2018-02-27T21:06:00Z</dcterms:created>
  <dcterms:modified xsi:type="dcterms:W3CDTF">2021-03-01T23:49:00Z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ies>
</file>